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0C2" w:rsidRPr="007B4292" w:rsidRDefault="0061114D" w:rsidP="007B4292">
      <w:pPr>
        <w:spacing w:before="0" w:after="0" w:line="240" w:lineRule="auto"/>
        <w:ind w:left="9204" w:firstLine="708"/>
        <w:contextualSpacing/>
        <w:jc w:val="right"/>
        <w:outlineLvl w:val="0"/>
        <w:rPr>
          <w:rFonts w:cstheme="minorHAnsi"/>
          <w:sz w:val="22"/>
          <w:szCs w:val="22"/>
        </w:rPr>
      </w:pPr>
      <w:bookmarkStart w:id="0" w:name="_GoBack"/>
      <w:bookmarkEnd w:id="0"/>
      <w:r>
        <w:rPr>
          <w:rFonts w:cstheme="minorHAnsi"/>
          <w:sz w:val="22"/>
          <w:szCs w:val="22"/>
        </w:rPr>
        <w:t>04</w:t>
      </w:r>
      <w:r w:rsidR="001020C2" w:rsidRPr="007B4292">
        <w:rPr>
          <w:rFonts w:cstheme="minorHAnsi"/>
          <w:sz w:val="22"/>
          <w:szCs w:val="22"/>
        </w:rPr>
        <w:t>.0</w:t>
      </w:r>
      <w:r w:rsidR="00140120" w:rsidRPr="007B4292">
        <w:rPr>
          <w:rFonts w:cstheme="minorHAnsi"/>
          <w:sz w:val="22"/>
          <w:szCs w:val="22"/>
        </w:rPr>
        <w:t>3</w:t>
      </w:r>
      <w:r w:rsidR="001020C2" w:rsidRPr="007B4292">
        <w:rPr>
          <w:rFonts w:cstheme="minorHAnsi"/>
          <w:sz w:val="22"/>
          <w:szCs w:val="22"/>
        </w:rPr>
        <w:t>.2020 r.</w:t>
      </w:r>
    </w:p>
    <w:p w:rsidR="001020C2" w:rsidRPr="007B4292" w:rsidRDefault="001020C2" w:rsidP="007B4292">
      <w:pPr>
        <w:spacing w:before="0" w:after="0" w:line="240" w:lineRule="auto"/>
        <w:contextualSpacing/>
        <w:jc w:val="center"/>
        <w:outlineLvl w:val="0"/>
        <w:rPr>
          <w:rFonts w:cstheme="minorHAnsi"/>
          <w:b/>
          <w:sz w:val="22"/>
          <w:szCs w:val="22"/>
        </w:rPr>
      </w:pPr>
    </w:p>
    <w:p w:rsidR="00D244D4" w:rsidRPr="007B4292" w:rsidRDefault="00D244D4" w:rsidP="007B4292">
      <w:pPr>
        <w:spacing w:before="0" w:after="0" w:line="240" w:lineRule="auto"/>
        <w:contextualSpacing/>
        <w:jc w:val="center"/>
        <w:outlineLvl w:val="0"/>
        <w:rPr>
          <w:rFonts w:cstheme="minorHAnsi"/>
          <w:b/>
          <w:sz w:val="22"/>
          <w:szCs w:val="22"/>
        </w:rPr>
      </w:pPr>
      <w:r w:rsidRPr="007B4292">
        <w:rPr>
          <w:rFonts w:cstheme="minorHAnsi"/>
          <w:b/>
          <w:sz w:val="22"/>
          <w:szCs w:val="22"/>
        </w:rPr>
        <w:t xml:space="preserve">Zestawienie zgłoszonych uwag do projektu rozporządzenia Ministra Cyfryzacji w sprawie minimalnych środków technicznych i organizacyjnych oraz metod, jakie przedsiębiorcy telekomunikacyjni są obowiązani stosować w celu zapewnienia bezpieczeństwa lub integralności sieci lub usług – konsultacje </w:t>
      </w:r>
    </w:p>
    <w:p w:rsidR="008C1C2B" w:rsidRPr="007B4292" w:rsidRDefault="008C1C2B" w:rsidP="007B4292">
      <w:pPr>
        <w:spacing w:before="0" w:after="0" w:line="240" w:lineRule="auto"/>
        <w:contextualSpacing/>
        <w:jc w:val="center"/>
        <w:outlineLvl w:val="0"/>
        <w:rPr>
          <w:rFonts w:cstheme="minorHAnsi"/>
          <w:sz w:val="22"/>
          <w:szCs w:val="22"/>
        </w:rPr>
      </w:pPr>
      <w:r w:rsidRPr="007B4292">
        <w:rPr>
          <w:rFonts w:cstheme="minorHAnsi"/>
          <w:b/>
          <w:sz w:val="22"/>
          <w:szCs w:val="22"/>
        </w:rPr>
        <w:t>UZUPEŁNIENIE TABELI</w:t>
      </w:r>
    </w:p>
    <w:p w:rsidR="00DA5447" w:rsidRPr="007B4292" w:rsidRDefault="00DA5447" w:rsidP="007B4292">
      <w:pPr>
        <w:spacing w:before="0" w:after="0" w:line="240" w:lineRule="auto"/>
        <w:contextualSpacing/>
        <w:jc w:val="both"/>
        <w:rPr>
          <w:rFonts w:cstheme="minorHAnsi"/>
          <w:sz w:val="22"/>
          <w:szCs w:val="22"/>
        </w:rPr>
      </w:pPr>
    </w:p>
    <w:p w:rsidR="00505184" w:rsidRPr="007B4292" w:rsidRDefault="00505184" w:rsidP="007B4292">
      <w:pPr>
        <w:spacing w:before="0" w:after="0" w:line="240" w:lineRule="auto"/>
        <w:contextualSpacing/>
        <w:jc w:val="both"/>
        <w:rPr>
          <w:rFonts w:cstheme="minorHAnsi"/>
          <w:sz w:val="22"/>
          <w:szCs w:val="22"/>
        </w:rPr>
      </w:pPr>
      <w:r w:rsidRPr="007B4292">
        <w:rPr>
          <w:rFonts w:cstheme="minorHAnsi"/>
          <w:sz w:val="22"/>
          <w:szCs w:val="22"/>
        </w:rPr>
        <w:t>Uwagi zgłoszone przez:</w:t>
      </w:r>
    </w:p>
    <w:p w:rsidR="00505184" w:rsidRPr="007B4292" w:rsidRDefault="00FE4690" w:rsidP="007B4292">
      <w:pPr>
        <w:pStyle w:val="Akapitzlist"/>
        <w:numPr>
          <w:ilvl w:val="0"/>
          <w:numId w:val="23"/>
        </w:numPr>
        <w:spacing w:before="0" w:after="0" w:line="240" w:lineRule="auto"/>
        <w:jc w:val="both"/>
        <w:rPr>
          <w:rFonts w:cstheme="minorHAnsi"/>
          <w:sz w:val="22"/>
          <w:szCs w:val="22"/>
        </w:rPr>
      </w:pPr>
      <w:r w:rsidRPr="007B4292">
        <w:rPr>
          <w:rFonts w:cstheme="minorHAnsi"/>
          <w:sz w:val="22"/>
          <w:szCs w:val="22"/>
        </w:rPr>
        <w:t>Polska Izba Komunikacji Elektronicznej</w:t>
      </w:r>
      <w:r w:rsidR="00A31E36" w:rsidRPr="007B4292">
        <w:rPr>
          <w:rFonts w:cstheme="minorHAnsi"/>
          <w:sz w:val="22"/>
          <w:szCs w:val="22"/>
        </w:rPr>
        <w:t xml:space="preserve"> (zgłoszono 17.02.2020 </w:t>
      </w:r>
      <w:r w:rsidR="008C1C2B" w:rsidRPr="007B4292">
        <w:rPr>
          <w:rFonts w:cstheme="minorHAnsi"/>
          <w:sz w:val="22"/>
          <w:szCs w:val="22"/>
        </w:rPr>
        <w:t xml:space="preserve">- </w:t>
      </w:r>
      <w:r w:rsidR="00A31E36" w:rsidRPr="007B4292">
        <w:rPr>
          <w:rFonts w:cstheme="minorHAnsi"/>
          <w:sz w:val="22"/>
          <w:szCs w:val="22"/>
        </w:rPr>
        <w:t>po terminie)</w:t>
      </w:r>
    </w:p>
    <w:p w:rsidR="00505184" w:rsidRPr="007B4292" w:rsidRDefault="00505184" w:rsidP="007B4292">
      <w:pPr>
        <w:spacing w:before="0" w:after="0" w:line="240" w:lineRule="auto"/>
        <w:contextualSpacing/>
        <w:jc w:val="both"/>
        <w:rPr>
          <w:rFonts w:cstheme="minorHAnsi"/>
          <w:sz w:val="22"/>
          <w:szCs w:val="22"/>
        </w:rPr>
      </w:pPr>
    </w:p>
    <w:tbl>
      <w:tblPr>
        <w:tblW w:w="14905" w:type="dxa"/>
        <w:tblInd w:w="-171" w:type="dxa"/>
        <w:tblLayout w:type="fixed"/>
        <w:tblCellMar>
          <w:top w:w="113" w:type="dxa"/>
          <w:left w:w="113" w:type="dxa"/>
          <w:right w:w="113" w:type="dxa"/>
        </w:tblCellMar>
        <w:tblLook w:val="0000" w:firstRow="0" w:lastRow="0" w:firstColumn="0" w:lastColumn="0" w:noHBand="0" w:noVBand="0"/>
      </w:tblPr>
      <w:tblGrid>
        <w:gridCol w:w="1017"/>
        <w:gridCol w:w="1134"/>
        <w:gridCol w:w="1417"/>
        <w:gridCol w:w="6521"/>
        <w:gridCol w:w="4816"/>
      </w:tblGrid>
      <w:tr w:rsidR="00E053E9" w:rsidRPr="007B4292" w:rsidTr="007B4292">
        <w:trPr>
          <w:cantSplit/>
          <w:trHeight w:val="1407"/>
        </w:trPr>
        <w:tc>
          <w:tcPr>
            <w:tcW w:w="1017" w:type="dxa"/>
            <w:tcBorders>
              <w:top w:val="single" w:sz="4" w:space="0" w:color="000000"/>
              <w:left w:val="single" w:sz="4" w:space="0" w:color="000000"/>
              <w:bottom w:val="single" w:sz="4" w:space="0" w:color="auto"/>
            </w:tcBorders>
            <w:textDirection w:val="btLr"/>
            <w:vAlign w:val="center"/>
          </w:tcPr>
          <w:p w:rsidR="00DA5447" w:rsidRPr="007B4292" w:rsidRDefault="00DA5447" w:rsidP="007B4292">
            <w:pPr>
              <w:snapToGrid w:val="0"/>
              <w:spacing w:before="0" w:after="0" w:line="240" w:lineRule="auto"/>
              <w:ind w:left="113" w:right="113"/>
              <w:contextualSpacing/>
              <w:rPr>
                <w:rFonts w:cstheme="minorHAnsi"/>
                <w:b/>
                <w:bCs/>
                <w:sz w:val="22"/>
                <w:szCs w:val="22"/>
              </w:rPr>
            </w:pPr>
            <w:r w:rsidRPr="007B4292">
              <w:rPr>
                <w:rFonts w:cstheme="minorHAnsi"/>
                <w:b/>
                <w:bCs/>
                <w:sz w:val="22"/>
                <w:szCs w:val="22"/>
              </w:rPr>
              <w:t>Nr uwagi</w:t>
            </w:r>
          </w:p>
        </w:tc>
        <w:tc>
          <w:tcPr>
            <w:tcW w:w="1134" w:type="dxa"/>
            <w:tcBorders>
              <w:top w:val="single" w:sz="4" w:space="0" w:color="000000"/>
              <w:left w:val="single" w:sz="4" w:space="0" w:color="000000"/>
              <w:bottom w:val="single" w:sz="4" w:space="0" w:color="auto"/>
            </w:tcBorders>
            <w:textDirection w:val="btLr"/>
            <w:vAlign w:val="center"/>
          </w:tcPr>
          <w:p w:rsidR="00DA5447" w:rsidRPr="007B4292" w:rsidRDefault="00DA5447" w:rsidP="007B4292">
            <w:pPr>
              <w:snapToGrid w:val="0"/>
              <w:spacing w:before="0" w:after="0" w:line="240" w:lineRule="auto"/>
              <w:ind w:left="113" w:right="113"/>
              <w:contextualSpacing/>
              <w:jc w:val="both"/>
              <w:rPr>
                <w:rFonts w:cstheme="minorHAnsi"/>
                <w:b/>
                <w:bCs/>
                <w:sz w:val="22"/>
                <w:szCs w:val="22"/>
              </w:rPr>
            </w:pPr>
            <w:r w:rsidRPr="007B4292">
              <w:rPr>
                <w:rFonts w:cstheme="minorHAnsi"/>
                <w:b/>
                <w:bCs/>
                <w:sz w:val="22"/>
                <w:szCs w:val="22"/>
              </w:rPr>
              <w:t>Jednos</w:t>
            </w:r>
            <w:r w:rsidR="003F5D6F" w:rsidRPr="007B4292">
              <w:rPr>
                <w:rFonts w:cstheme="minorHAnsi"/>
                <w:b/>
                <w:bCs/>
                <w:sz w:val="22"/>
                <w:szCs w:val="22"/>
              </w:rPr>
              <w:t>tka redakcyjna projektu</w:t>
            </w:r>
          </w:p>
        </w:tc>
        <w:tc>
          <w:tcPr>
            <w:tcW w:w="1417" w:type="dxa"/>
            <w:tcBorders>
              <w:top w:val="single" w:sz="4" w:space="0" w:color="000000"/>
              <w:left w:val="single" w:sz="4" w:space="0" w:color="000000"/>
              <w:bottom w:val="single" w:sz="4" w:space="0" w:color="auto"/>
            </w:tcBorders>
            <w:textDirection w:val="btLr"/>
            <w:vAlign w:val="center"/>
          </w:tcPr>
          <w:p w:rsidR="00DA5447" w:rsidRPr="007B4292" w:rsidRDefault="00DA5447" w:rsidP="007B4292">
            <w:pPr>
              <w:snapToGrid w:val="0"/>
              <w:spacing w:before="0" w:after="0" w:line="240" w:lineRule="auto"/>
              <w:ind w:left="113" w:right="113"/>
              <w:contextualSpacing/>
              <w:jc w:val="both"/>
              <w:rPr>
                <w:rFonts w:cstheme="minorHAnsi"/>
                <w:b/>
                <w:bCs/>
                <w:sz w:val="22"/>
                <w:szCs w:val="22"/>
              </w:rPr>
            </w:pPr>
            <w:r w:rsidRPr="007B4292">
              <w:rPr>
                <w:rFonts w:cstheme="minorHAnsi"/>
                <w:b/>
                <w:bCs/>
                <w:sz w:val="22"/>
                <w:szCs w:val="22"/>
              </w:rPr>
              <w:t>Zgłaszający</w:t>
            </w:r>
          </w:p>
        </w:tc>
        <w:tc>
          <w:tcPr>
            <w:tcW w:w="6521" w:type="dxa"/>
            <w:tcBorders>
              <w:top w:val="single" w:sz="4" w:space="0" w:color="000000"/>
              <w:left w:val="single" w:sz="4" w:space="0" w:color="000000"/>
              <w:bottom w:val="single" w:sz="4" w:space="0" w:color="auto"/>
            </w:tcBorders>
            <w:vAlign w:val="center"/>
          </w:tcPr>
          <w:p w:rsidR="00DA5447" w:rsidRPr="007B4292" w:rsidRDefault="00DA5447" w:rsidP="007B4292">
            <w:pPr>
              <w:snapToGrid w:val="0"/>
              <w:spacing w:before="0" w:after="0" w:line="240" w:lineRule="auto"/>
              <w:contextualSpacing/>
              <w:jc w:val="center"/>
              <w:rPr>
                <w:rFonts w:cstheme="minorHAnsi"/>
                <w:b/>
                <w:bCs/>
                <w:sz w:val="22"/>
                <w:szCs w:val="22"/>
              </w:rPr>
            </w:pPr>
            <w:r w:rsidRPr="007B4292">
              <w:rPr>
                <w:rFonts w:cstheme="minorHAnsi"/>
                <w:b/>
                <w:bCs/>
                <w:sz w:val="22"/>
                <w:szCs w:val="22"/>
              </w:rPr>
              <w:t>Treść</w:t>
            </w:r>
            <w:r w:rsidR="003F5D6F" w:rsidRPr="007B4292">
              <w:rPr>
                <w:rFonts w:cstheme="minorHAnsi"/>
                <w:b/>
                <w:bCs/>
                <w:sz w:val="22"/>
                <w:szCs w:val="22"/>
              </w:rPr>
              <w:t xml:space="preserve"> uwagi</w:t>
            </w:r>
          </w:p>
        </w:tc>
        <w:tc>
          <w:tcPr>
            <w:tcW w:w="4816" w:type="dxa"/>
            <w:tcBorders>
              <w:top w:val="single" w:sz="4" w:space="0" w:color="000000"/>
              <w:left w:val="single" w:sz="4" w:space="0" w:color="000000"/>
              <w:bottom w:val="single" w:sz="4" w:space="0" w:color="auto"/>
              <w:right w:val="single" w:sz="4" w:space="0" w:color="000000"/>
            </w:tcBorders>
            <w:vAlign w:val="center"/>
          </w:tcPr>
          <w:p w:rsidR="003F5D6F" w:rsidRPr="007B4292" w:rsidRDefault="00DA5447" w:rsidP="007B4292">
            <w:pPr>
              <w:snapToGrid w:val="0"/>
              <w:spacing w:before="0" w:after="0" w:line="240" w:lineRule="auto"/>
              <w:contextualSpacing/>
              <w:jc w:val="center"/>
              <w:rPr>
                <w:rFonts w:cstheme="minorHAnsi"/>
                <w:b/>
                <w:bCs/>
                <w:sz w:val="22"/>
                <w:szCs w:val="22"/>
              </w:rPr>
            </w:pPr>
            <w:r w:rsidRPr="007B4292">
              <w:rPr>
                <w:rFonts w:cstheme="minorHAnsi"/>
                <w:b/>
                <w:bCs/>
                <w:sz w:val="22"/>
                <w:szCs w:val="22"/>
              </w:rPr>
              <w:t>Stanowisko</w:t>
            </w:r>
            <w:r w:rsidR="00861608" w:rsidRPr="007B4292">
              <w:rPr>
                <w:rFonts w:cstheme="minorHAnsi"/>
                <w:b/>
                <w:bCs/>
                <w:sz w:val="22"/>
                <w:szCs w:val="22"/>
              </w:rPr>
              <w:t xml:space="preserve"> MC</w:t>
            </w:r>
          </w:p>
        </w:tc>
      </w:tr>
      <w:tr w:rsidR="001B7EC7" w:rsidRPr="007B4292" w:rsidTr="007B4292">
        <w:tc>
          <w:tcPr>
            <w:tcW w:w="1017" w:type="dxa"/>
            <w:tcBorders>
              <w:top w:val="single" w:sz="4" w:space="0" w:color="auto"/>
              <w:left w:val="single" w:sz="4" w:space="0" w:color="auto"/>
              <w:bottom w:val="single" w:sz="4" w:space="0" w:color="auto"/>
              <w:right w:val="single" w:sz="4" w:space="0" w:color="auto"/>
            </w:tcBorders>
          </w:tcPr>
          <w:p w:rsidR="001B7EC7" w:rsidRPr="007B4292" w:rsidRDefault="001B7EC7" w:rsidP="007B4292">
            <w:pPr>
              <w:pStyle w:val="Akapitzlist"/>
              <w:numPr>
                <w:ilvl w:val="0"/>
                <w:numId w:val="17"/>
              </w:numPr>
              <w:tabs>
                <w:tab w:val="left" w:pos="416"/>
              </w:tabs>
              <w:snapToGrid w:val="0"/>
              <w:spacing w:before="0" w:after="0" w:line="240" w:lineRule="auto"/>
              <w:ind w:left="0" w:firstLine="0"/>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1B7EC7" w:rsidRPr="007B4292" w:rsidRDefault="001B7EC7" w:rsidP="007B4292">
            <w:pPr>
              <w:snapToGrid w:val="0"/>
              <w:spacing w:before="0" w:after="0" w:line="240" w:lineRule="auto"/>
              <w:contextualSpacing/>
              <w:rPr>
                <w:rFonts w:cstheme="minorHAnsi"/>
                <w:sz w:val="22"/>
                <w:szCs w:val="22"/>
              </w:rPr>
            </w:pPr>
            <w:r w:rsidRPr="007B4292">
              <w:rPr>
                <w:rFonts w:cstheme="minorHAnsi"/>
                <w:sz w:val="22"/>
                <w:szCs w:val="22"/>
              </w:rPr>
              <w:t xml:space="preserve">Ogólna </w:t>
            </w:r>
          </w:p>
        </w:tc>
        <w:tc>
          <w:tcPr>
            <w:tcW w:w="1417" w:type="dxa"/>
            <w:tcBorders>
              <w:top w:val="single" w:sz="4" w:space="0" w:color="auto"/>
              <w:left w:val="single" w:sz="4" w:space="0" w:color="auto"/>
              <w:bottom w:val="single" w:sz="4" w:space="0" w:color="auto"/>
              <w:right w:val="single" w:sz="4" w:space="0" w:color="auto"/>
            </w:tcBorders>
          </w:tcPr>
          <w:p w:rsidR="001B7EC7" w:rsidRPr="007B4292" w:rsidRDefault="00FE4690" w:rsidP="007B4292">
            <w:pPr>
              <w:spacing w:before="0" w:after="0" w:line="240" w:lineRule="auto"/>
              <w:jc w:val="both"/>
              <w:rPr>
                <w:rFonts w:cstheme="minorHAnsi"/>
                <w:sz w:val="22"/>
                <w:szCs w:val="22"/>
              </w:rPr>
            </w:pPr>
            <w:r w:rsidRPr="007B4292">
              <w:rPr>
                <w:rFonts w:cstheme="minorHAnsi"/>
                <w:sz w:val="22"/>
                <w:szCs w:val="22"/>
              </w:rPr>
              <w:t>PIKE</w:t>
            </w:r>
            <w:r w:rsidR="001B7EC7" w:rsidRPr="007B4292">
              <w:rPr>
                <w:rFonts w:cstheme="minorHAnsi"/>
                <w:sz w:val="22"/>
                <w:szCs w:val="22"/>
              </w:rPr>
              <w:t xml:space="preserve"> </w:t>
            </w:r>
          </w:p>
        </w:tc>
        <w:tc>
          <w:tcPr>
            <w:tcW w:w="6521" w:type="dxa"/>
            <w:tcBorders>
              <w:top w:val="single" w:sz="4" w:space="0" w:color="auto"/>
              <w:left w:val="single" w:sz="4" w:space="0" w:color="auto"/>
              <w:bottom w:val="single" w:sz="4" w:space="0" w:color="auto"/>
              <w:right w:val="single" w:sz="4" w:space="0" w:color="auto"/>
            </w:tcBorders>
          </w:tcPr>
          <w:p w:rsidR="00FE4690" w:rsidRPr="007B4292" w:rsidRDefault="00FE4690" w:rsidP="007B4292">
            <w:pPr>
              <w:spacing w:before="0" w:after="0" w:line="240" w:lineRule="auto"/>
              <w:contextualSpacing/>
              <w:jc w:val="both"/>
              <w:rPr>
                <w:rFonts w:cstheme="minorHAnsi"/>
                <w:sz w:val="22"/>
                <w:szCs w:val="22"/>
              </w:rPr>
            </w:pPr>
            <w:r w:rsidRPr="007B4292">
              <w:rPr>
                <w:rFonts w:cstheme="minorHAnsi"/>
                <w:sz w:val="22"/>
                <w:szCs w:val="22"/>
              </w:rPr>
              <w:t xml:space="preserve">Projekt rozporządzenia reguluje istotną z punktu widzenia rynku telekomunikacyjnego kwestię, jaką jest zapewnienie bezpieczeństwa </w:t>
            </w:r>
            <w:r w:rsidR="00445ED3" w:rsidRPr="007B4292">
              <w:rPr>
                <w:rFonts w:cstheme="minorHAnsi"/>
                <w:sz w:val="22"/>
                <w:szCs w:val="22"/>
              </w:rPr>
              <w:br/>
            </w:r>
            <w:r w:rsidRPr="007B4292">
              <w:rPr>
                <w:rFonts w:cstheme="minorHAnsi"/>
                <w:sz w:val="22"/>
                <w:szCs w:val="22"/>
              </w:rPr>
              <w:t xml:space="preserve">i integralności sieci oraz usług telekomunikacyjnych. Należy jednak wskazać, że jego treść wymaga znaczących zmian. Konieczna jest bowiem szersza debata na temat wymaganych poziomów bezpieczeństwa w sieciach operatorów z uwzględnieniem zakresu świadczonych przez nich usług oraz wielkości ich udziału w rynku. </w:t>
            </w:r>
          </w:p>
          <w:p w:rsidR="00FE4690" w:rsidRPr="007B4292" w:rsidRDefault="00FE4690" w:rsidP="007B4292">
            <w:pPr>
              <w:spacing w:before="0" w:after="0" w:line="240" w:lineRule="auto"/>
              <w:contextualSpacing/>
              <w:jc w:val="both"/>
              <w:rPr>
                <w:rFonts w:cstheme="minorHAnsi"/>
                <w:sz w:val="22"/>
                <w:szCs w:val="22"/>
              </w:rPr>
            </w:pPr>
            <w:r w:rsidRPr="007B4292">
              <w:rPr>
                <w:rFonts w:cstheme="minorHAnsi"/>
                <w:sz w:val="22"/>
                <w:szCs w:val="22"/>
              </w:rPr>
              <w:t xml:space="preserve">W tym względzie należy zwrócić uwagę na konieczność dokonania przeglądu proponowanych działań pod kątem ich skuteczności oraz ich proporcjonalności przy zapewnianiu bezpieczeństwa i integralności sieci oraz usług. Należy przede wszystkim uwzględnić fakt, że projekt rozporządzenia powinien obejmować minimalny zakres środków jakie mają zastosować przedsiębiorcy telekomunikacyjni. Tymczasem, zdaniem Izby katalog działań przedstawiony w projekcie rozporządzenia jest nazbyt szeroki i obejmuje większość działań wskazanych w wytycznych ENISA z 2014 r. </w:t>
            </w:r>
          </w:p>
          <w:p w:rsidR="001B7EC7" w:rsidRPr="007B4292" w:rsidRDefault="00FE4690" w:rsidP="007B4292">
            <w:pPr>
              <w:spacing w:before="0" w:after="0" w:line="240" w:lineRule="auto"/>
              <w:contextualSpacing/>
              <w:jc w:val="both"/>
              <w:rPr>
                <w:rFonts w:cstheme="minorHAnsi"/>
                <w:sz w:val="22"/>
                <w:szCs w:val="22"/>
              </w:rPr>
            </w:pPr>
            <w:r w:rsidRPr="007B4292">
              <w:rPr>
                <w:rFonts w:cstheme="minorHAnsi"/>
                <w:sz w:val="22"/>
                <w:szCs w:val="22"/>
              </w:rPr>
              <w:t xml:space="preserve">Ponadto, należy również uzupełnić uzasadnienie do projektu rozporządzenia o analizy dotyczące tego, jakie środki techniczne </w:t>
            </w:r>
            <w:r w:rsidR="004E7184" w:rsidRPr="007B4292">
              <w:rPr>
                <w:rFonts w:cstheme="minorHAnsi"/>
                <w:sz w:val="22"/>
                <w:szCs w:val="22"/>
              </w:rPr>
              <w:br/>
            </w:r>
            <w:r w:rsidRPr="007B4292">
              <w:rPr>
                <w:rFonts w:cstheme="minorHAnsi"/>
                <w:sz w:val="22"/>
                <w:szCs w:val="22"/>
              </w:rPr>
              <w:t xml:space="preserve">i organizacyjne uznano za nadmiarowe i nie zamieszczono ich </w:t>
            </w:r>
            <w:r w:rsidR="004E7184" w:rsidRPr="007B4292">
              <w:rPr>
                <w:rFonts w:cstheme="minorHAnsi"/>
                <w:sz w:val="22"/>
                <w:szCs w:val="22"/>
              </w:rPr>
              <w:br/>
            </w:r>
            <w:r w:rsidRPr="007B4292">
              <w:rPr>
                <w:rFonts w:cstheme="minorHAnsi"/>
                <w:sz w:val="22"/>
                <w:szCs w:val="22"/>
              </w:rPr>
              <w:t xml:space="preserve">w projekcie rozporządzenia. </w:t>
            </w:r>
          </w:p>
        </w:tc>
        <w:tc>
          <w:tcPr>
            <w:tcW w:w="4816" w:type="dxa"/>
            <w:tcBorders>
              <w:top w:val="single" w:sz="4" w:space="0" w:color="auto"/>
              <w:left w:val="single" w:sz="4" w:space="0" w:color="auto"/>
              <w:bottom w:val="single" w:sz="4" w:space="0" w:color="auto"/>
              <w:right w:val="single" w:sz="4" w:space="0" w:color="auto"/>
            </w:tcBorders>
          </w:tcPr>
          <w:p w:rsidR="008C1C2B" w:rsidRPr="007B4292" w:rsidRDefault="008C1C2B"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Wyjaśnienie. </w:t>
            </w:r>
          </w:p>
          <w:p w:rsidR="004E7184" w:rsidRPr="007B4292" w:rsidRDefault="004E7184" w:rsidP="007B4292">
            <w:pPr>
              <w:pStyle w:val="Nagwek"/>
              <w:spacing w:before="0" w:after="0" w:line="240" w:lineRule="auto"/>
              <w:contextualSpacing/>
              <w:jc w:val="both"/>
              <w:rPr>
                <w:rFonts w:cstheme="minorHAnsi"/>
                <w:sz w:val="22"/>
                <w:szCs w:val="22"/>
              </w:rPr>
            </w:pPr>
            <w:r w:rsidRPr="007B4292">
              <w:rPr>
                <w:rFonts w:cstheme="minorHAnsi"/>
                <w:sz w:val="22"/>
                <w:szCs w:val="22"/>
              </w:rPr>
              <w:t>Ocena istniejących zagrożeń, dokumentowanie środków bezpieczeństwa czy zasad dostępu to absolutne podstawy, które już powinny u większości przedsiębiorców mieć miejsce.</w:t>
            </w:r>
          </w:p>
          <w:p w:rsidR="008C3D2A" w:rsidRPr="007B4292" w:rsidRDefault="004E7184" w:rsidP="007B4292">
            <w:pPr>
              <w:pStyle w:val="Nagwek"/>
              <w:spacing w:before="0" w:after="0" w:line="240" w:lineRule="auto"/>
              <w:contextualSpacing/>
              <w:jc w:val="both"/>
              <w:rPr>
                <w:rFonts w:cstheme="minorHAnsi"/>
                <w:sz w:val="22"/>
                <w:szCs w:val="22"/>
              </w:rPr>
            </w:pPr>
            <w:r w:rsidRPr="007B4292">
              <w:rPr>
                <w:rFonts w:cstheme="minorHAnsi"/>
                <w:sz w:val="22"/>
                <w:szCs w:val="22"/>
              </w:rPr>
              <w:t>Obowiązek podejmowania proporcjonalnych i uzasadnionych środków mających na celu zapewnienie bezpieczeństwa oraz integralności sieci i usług funkcjonuje od 2004 r. tj, od dnia wejścia w życie ustawy PT. Natomiast projektowane rozporządzenie określa minimalne środki techniczne i organizacyjne oraz metody zapobiegania zagrożeniom, wprowadzając i precyzując jednolite wymogi dla wszystkich przedsiębiorców telekomunikacyjnych.</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xml:space="preserve">Ogólna </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 xml:space="preserve">PIKE </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PIKE uprzejmie dziękuje za możliwość udziału w procesie legislacyjnym i wyraża nadzieję, że opisane w niniejszym piśmie uwagi i propozycje </w:t>
            </w:r>
            <w:r w:rsidRPr="007B4292">
              <w:rPr>
                <w:rFonts w:cstheme="minorHAnsi"/>
                <w:sz w:val="22"/>
                <w:szCs w:val="22"/>
              </w:rPr>
              <w:lastRenderedPageBreak/>
              <w:t xml:space="preserve">zostaną przez Ministra Cyfryzacji uwzględnione w toku dalszych prac.  Izba pragnie zwrócić uwagę przede wszystkim na wskazaną w art. 13a dyrektywy 2009/140/WE zasadę proporcjonalności środków </w:t>
            </w:r>
            <w:r w:rsidR="00445ED3" w:rsidRPr="007B4292">
              <w:rPr>
                <w:rFonts w:cstheme="minorHAnsi"/>
                <w:sz w:val="22"/>
                <w:szCs w:val="22"/>
              </w:rPr>
              <w:br/>
            </w:r>
            <w:r w:rsidRPr="007B4292">
              <w:rPr>
                <w:rFonts w:cstheme="minorHAnsi"/>
                <w:sz w:val="22"/>
                <w:szCs w:val="22"/>
              </w:rPr>
              <w:t>w stosunku do istniejącego ryzyka. Z tego względu minimalny zestaw środków określony w projekcie rozporządzenia powinien być jak najmniejszy, aby pozwolić przedsiębiorcom na elastyczne reagowanie na zagrożenia.</w:t>
            </w:r>
          </w:p>
        </w:tc>
        <w:tc>
          <w:tcPr>
            <w:tcW w:w="4816" w:type="dxa"/>
            <w:tcBorders>
              <w:top w:val="single" w:sz="4" w:space="0" w:color="auto"/>
              <w:left w:val="single" w:sz="4" w:space="0" w:color="auto"/>
              <w:bottom w:val="single" w:sz="4" w:space="0" w:color="auto"/>
              <w:right w:val="single" w:sz="4" w:space="0" w:color="auto"/>
            </w:tcBorders>
          </w:tcPr>
          <w:p w:rsidR="008C1C2B" w:rsidRPr="007B4292" w:rsidRDefault="008C1C2B" w:rsidP="007B4292">
            <w:pPr>
              <w:pStyle w:val="Nagwek"/>
              <w:spacing w:before="0" w:after="0" w:line="240" w:lineRule="auto"/>
              <w:contextualSpacing/>
              <w:jc w:val="both"/>
              <w:rPr>
                <w:rFonts w:cstheme="minorHAnsi"/>
                <w:sz w:val="22"/>
                <w:szCs w:val="22"/>
              </w:rPr>
            </w:pPr>
            <w:r w:rsidRPr="007B4292">
              <w:rPr>
                <w:rFonts w:cstheme="minorHAnsi"/>
                <w:sz w:val="22"/>
                <w:szCs w:val="22"/>
              </w:rPr>
              <w:lastRenderedPageBreak/>
              <w:t>Wyjaśnienie.</w:t>
            </w:r>
          </w:p>
          <w:p w:rsidR="00A31E36" w:rsidRPr="007B4292" w:rsidRDefault="00743B3E" w:rsidP="007B4292">
            <w:pPr>
              <w:pStyle w:val="Nagwek"/>
              <w:spacing w:before="0" w:after="0" w:line="240" w:lineRule="auto"/>
              <w:contextualSpacing/>
              <w:jc w:val="both"/>
              <w:rPr>
                <w:rFonts w:cstheme="minorHAnsi"/>
                <w:sz w:val="22"/>
                <w:szCs w:val="22"/>
              </w:rPr>
            </w:pPr>
            <w:r w:rsidRPr="007B4292">
              <w:rPr>
                <w:rFonts w:cstheme="minorHAnsi"/>
                <w:sz w:val="22"/>
                <w:szCs w:val="22"/>
              </w:rPr>
              <w:lastRenderedPageBreak/>
              <w:t>Użyte w rozporządzeniu środki i metody są dalej zgodne z postanowieniami art. 175 i następnymi. Wskazane środki i metody nadal pozwalają na swobodny dobór szczegółowych sposobów realizacji obowiązku ustawowego</w:t>
            </w:r>
            <w:r w:rsidR="00663CFA" w:rsidRPr="007B4292">
              <w:rPr>
                <w:rFonts w:cstheme="minorHAnsi"/>
                <w:sz w:val="22"/>
                <w:szCs w:val="22"/>
              </w:rPr>
              <w:t>.</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1</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b/>
                <w:sz w:val="22"/>
                <w:szCs w:val="22"/>
              </w:rPr>
              <w:t>Obowiązek z § 2 pkt 1 projektu rozporządzenia powinien zostać usunięty</w:t>
            </w:r>
            <w:r w:rsidRPr="007B4292">
              <w:rPr>
                <w:rFonts w:cstheme="minorHAnsi"/>
                <w:sz w:val="22"/>
                <w:szCs w:val="22"/>
              </w:rPr>
              <w:t>, gdyż nie wnosi on żadnej nowej treści, a jedynie powtarza obowiązki przygotowania dokumentacji wskazanych w pkt 2-14. Dodatkowo zapis ten nie bierze pod uwagę faktu, że część działań z pkt 2-14 nie dotyczy przygotowania dokumentacji w zakresie procedur czy zasad, ale podejmowania określonych działań wynikających z tych procedur i zasad. Nie jest więc możliwe aktualizowanie takich dokumentów. Jednocześnie, Izba podkreśla swoje zastrzeżenia co do konieczności automatycznej aktualizacji większości z tych dokumentów.</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8C1C2B"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p>
          <w:p w:rsidR="008C1C2B" w:rsidRPr="007B4292" w:rsidRDefault="008C1C2B" w:rsidP="007B4292">
            <w:pPr>
              <w:pStyle w:val="Nagwek"/>
              <w:spacing w:before="0" w:after="0" w:line="240" w:lineRule="auto"/>
              <w:contextualSpacing/>
              <w:jc w:val="both"/>
              <w:rPr>
                <w:rFonts w:cstheme="minorHAnsi"/>
                <w:sz w:val="22"/>
                <w:szCs w:val="22"/>
              </w:rPr>
            </w:pPr>
            <w:r w:rsidRPr="007B4292">
              <w:rPr>
                <w:rFonts w:cstheme="minorHAnsi"/>
                <w:sz w:val="22"/>
                <w:szCs w:val="22"/>
              </w:rPr>
              <w:t>Obowiązek posiadania dokumentacji wiąże się z zapewnieniem śladu audytowego tj. udowodnienia, że dany środek bezpieczeństwa jest proporcjonalny do oszacowanego ryzyka.</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2</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tabs>
                <w:tab w:val="left" w:pos="567"/>
                <w:tab w:val="left" w:pos="2820"/>
              </w:tabs>
              <w:autoSpaceDE w:val="0"/>
              <w:autoSpaceDN w:val="0"/>
              <w:adjustRightInd w:val="0"/>
              <w:spacing w:before="0" w:after="0" w:line="240" w:lineRule="auto"/>
              <w:jc w:val="both"/>
              <w:rPr>
                <w:rFonts w:cstheme="minorHAnsi"/>
                <w:sz w:val="22"/>
                <w:szCs w:val="22"/>
              </w:rPr>
            </w:pPr>
            <w:r w:rsidRPr="007B4292">
              <w:rPr>
                <w:rFonts w:cstheme="minorHAnsi"/>
                <w:sz w:val="22"/>
                <w:szCs w:val="22"/>
              </w:rPr>
              <w:t xml:space="preserve">Należy wskazać na szeroki zakres obowiązku przedstawiania wykazu infrastruktury telekomunikacyjnej i oprogramowania oraz na jego nieproporcjonalność. Zdaniem izby </w:t>
            </w:r>
            <w:r w:rsidRPr="007B4292">
              <w:rPr>
                <w:rFonts w:cstheme="minorHAnsi"/>
                <w:b/>
                <w:sz w:val="22"/>
                <w:szCs w:val="22"/>
              </w:rPr>
              <w:t xml:space="preserve">obowiązek z § 2 pkt 2 projektu rozporządzenia powinien być ograniczony tylko do infrastruktury </w:t>
            </w:r>
            <w:r w:rsidR="00445ED3" w:rsidRPr="007B4292">
              <w:rPr>
                <w:rFonts w:cstheme="minorHAnsi"/>
                <w:b/>
                <w:sz w:val="22"/>
                <w:szCs w:val="22"/>
              </w:rPr>
              <w:br/>
            </w:r>
            <w:r w:rsidRPr="007B4292">
              <w:rPr>
                <w:rFonts w:cstheme="minorHAnsi"/>
                <w:b/>
                <w:sz w:val="22"/>
                <w:szCs w:val="22"/>
              </w:rPr>
              <w:t>i oprogramowania krytycznego</w:t>
            </w:r>
            <w:r w:rsidRPr="007B4292">
              <w:rPr>
                <w:rFonts w:cstheme="minorHAnsi"/>
                <w:sz w:val="22"/>
                <w:szCs w:val="22"/>
              </w:rPr>
              <w:t xml:space="preserve">, a nie wszelkich elementów sieci telekomunikacyjnej. </w:t>
            </w:r>
          </w:p>
        </w:tc>
        <w:tc>
          <w:tcPr>
            <w:tcW w:w="4816" w:type="dxa"/>
            <w:tcBorders>
              <w:top w:val="single" w:sz="4" w:space="0" w:color="auto"/>
              <w:left w:val="single" w:sz="4" w:space="0" w:color="auto"/>
              <w:bottom w:val="single" w:sz="4" w:space="0" w:color="auto"/>
              <w:right w:val="single" w:sz="4" w:space="0" w:color="auto"/>
            </w:tcBorders>
          </w:tcPr>
          <w:p w:rsidR="00410881" w:rsidRPr="007B4292" w:rsidRDefault="00410881" w:rsidP="007B4292">
            <w:pPr>
              <w:pStyle w:val="Nagwek"/>
              <w:spacing w:before="0" w:after="0" w:line="240" w:lineRule="auto"/>
              <w:contextualSpacing/>
              <w:jc w:val="both"/>
              <w:rPr>
                <w:rFonts w:cstheme="minorHAnsi"/>
                <w:sz w:val="22"/>
                <w:szCs w:val="22"/>
              </w:rPr>
            </w:pPr>
            <w:r w:rsidRPr="007B4292">
              <w:rPr>
                <w:rFonts w:cstheme="minorHAnsi"/>
                <w:sz w:val="22"/>
                <w:szCs w:val="22"/>
              </w:rPr>
              <w:t>Uwaga nieuwzględniona.</w:t>
            </w:r>
          </w:p>
          <w:p w:rsidR="00410881" w:rsidRPr="007B4292" w:rsidRDefault="00410881" w:rsidP="007B4292">
            <w:pPr>
              <w:pStyle w:val="Nagwek"/>
              <w:spacing w:before="0" w:after="0" w:line="240" w:lineRule="auto"/>
              <w:contextualSpacing/>
              <w:jc w:val="both"/>
              <w:rPr>
                <w:rFonts w:cstheme="minorHAnsi"/>
                <w:sz w:val="22"/>
                <w:szCs w:val="22"/>
              </w:rPr>
            </w:pPr>
            <w:r w:rsidRPr="007B4292">
              <w:rPr>
                <w:rFonts w:cstheme="minorHAnsi"/>
                <w:sz w:val="22"/>
                <w:szCs w:val="22"/>
              </w:rPr>
              <w:t>Chodzi tu o wykaz obejmujący całość infrastruktury telekomunikacyjnej i oprogramowania służących do świadczenia usług telekomunikacyjnych.</w:t>
            </w:r>
          </w:p>
          <w:p w:rsidR="00A31E36" w:rsidRPr="007B4292" w:rsidRDefault="00410881"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Prowadzenie pełnego wykazu infrastruktury umożliwi przedsiębiorcom dokonanie właściwego szacowania ryzyka. Bez przeprowadzenia pełnej inwentaryzacji infrastruktury nie jest możliwe określenie jej własności i odpowiedzialności w organizacji, stopnia jej istotności dla działalności czy też zasad korzystania z niej. W opinii MC nie jest możliwe przeprowadzenie szacowania ryzyka z pominięciem tego kroku.  </w:t>
            </w:r>
          </w:p>
          <w:p w:rsidR="005766F3" w:rsidRPr="007B4292" w:rsidRDefault="005766F3" w:rsidP="007B4292">
            <w:pPr>
              <w:pStyle w:val="Nagwek"/>
              <w:spacing w:before="0" w:after="0" w:line="240" w:lineRule="auto"/>
              <w:contextualSpacing/>
              <w:jc w:val="both"/>
              <w:rPr>
                <w:rFonts w:cstheme="minorHAnsi"/>
                <w:sz w:val="22"/>
                <w:szCs w:val="22"/>
              </w:rPr>
            </w:pPr>
          </w:p>
          <w:p w:rsidR="002272A4"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2272A4" w:rsidRPr="007B4292" w:rsidRDefault="005766F3"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Zmieniono brzmienie przepisu § 2 pkt 2. </w:t>
            </w:r>
            <w:r w:rsidR="00C6559F" w:rsidRPr="007B4292">
              <w:rPr>
                <w:rFonts w:cstheme="minorHAnsi"/>
                <w:sz w:val="22"/>
                <w:szCs w:val="22"/>
              </w:rPr>
              <w:t>Ograniczono do istotnej infrastruktury.</w:t>
            </w:r>
          </w:p>
        </w:tc>
      </w:tr>
      <w:tr w:rsidR="00A31E36" w:rsidRPr="007B4292" w:rsidTr="007B4292">
        <w:trPr>
          <w:trHeight w:val="586"/>
        </w:trPr>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3</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tabs>
                <w:tab w:val="left" w:pos="567"/>
                <w:tab w:val="left" w:pos="2820"/>
              </w:tabs>
              <w:autoSpaceDE w:val="0"/>
              <w:autoSpaceDN w:val="0"/>
              <w:adjustRightInd w:val="0"/>
              <w:spacing w:before="0" w:after="0" w:line="240" w:lineRule="auto"/>
              <w:jc w:val="both"/>
              <w:rPr>
                <w:rFonts w:cstheme="minorHAnsi"/>
                <w:sz w:val="22"/>
                <w:szCs w:val="22"/>
              </w:rPr>
            </w:pPr>
            <w:r w:rsidRPr="007B4292">
              <w:rPr>
                <w:rFonts w:cstheme="minorHAnsi"/>
                <w:sz w:val="22"/>
                <w:szCs w:val="22"/>
              </w:rPr>
              <w:t xml:space="preserve">Przedmiotowy obowiązek jest wyjątkowo trudny do realizacji dla przedsiębiorców telekomunikacyjnych. Analiza dokumentacji ENISA </w:t>
            </w:r>
            <w:r w:rsidR="00445ED3" w:rsidRPr="007B4292">
              <w:rPr>
                <w:rFonts w:cstheme="minorHAnsi"/>
                <w:sz w:val="22"/>
                <w:szCs w:val="22"/>
              </w:rPr>
              <w:br/>
            </w:r>
            <w:r w:rsidRPr="007B4292">
              <w:rPr>
                <w:rFonts w:cstheme="minorHAnsi"/>
                <w:sz w:val="22"/>
                <w:szCs w:val="22"/>
              </w:rPr>
              <w:t xml:space="preserve">(w języku angielskim) wymaga bardzo specjalistycznej wiedzy oraz dodatkowego personelu. Ponadto zagrożenia wymienione przez ENISA nie muszą być głównymi zagrożeniami występującymi </w:t>
            </w:r>
            <w:r w:rsidRPr="007B4292">
              <w:rPr>
                <w:rFonts w:cstheme="minorHAnsi"/>
                <w:sz w:val="22"/>
                <w:szCs w:val="22"/>
              </w:rPr>
              <w:br/>
              <w:t xml:space="preserve">w Polsce. Zdaniem Izby, </w:t>
            </w:r>
            <w:r w:rsidRPr="007B4292">
              <w:rPr>
                <w:rFonts w:cstheme="minorHAnsi"/>
                <w:b/>
                <w:sz w:val="22"/>
                <w:szCs w:val="22"/>
              </w:rPr>
              <w:t>obowiązek określony w  § 2 pkt 3 projektu rozporządzenia powinien zostać całkowicie przeformułowany</w:t>
            </w:r>
            <w:r w:rsidRPr="007B4292">
              <w:rPr>
                <w:rFonts w:cstheme="minorHAnsi"/>
                <w:sz w:val="22"/>
                <w:szCs w:val="22"/>
              </w:rPr>
              <w:t xml:space="preserve">. Po pierwsze, materiałem źródłowym do identyfikacji zagrożeń przez przedsiębiorców powinny być analizy UKE lub NASK dotyczące incydentów w Polsce oraz inne raporty oparte na analizach opracowanych przez ENISA. Po drugie, obowiązek ten powinien raczej ograniczać się do zapoznania z tymi raportami, a nie dotyczyć tworzenia nowej dokumentacji na ten temat od podstaw (taki obowiązek powstaje niejako przy okazji połączenia tego obowiązku z projektowanym obowiązkiem z pkt 1 dotyczącym opracowania odpowiedniej dokumentacji). </w:t>
            </w:r>
          </w:p>
          <w:p w:rsidR="00A31E36" w:rsidRPr="007B4292" w:rsidRDefault="00A31E36" w:rsidP="007B4292">
            <w:pPr>
              <w:tabs>
                <w:tab w:val="left" w:pos="567"/>
                <w:tab w:val="left" w:pos="2820"/>
              </w:tabs>
              <w:autoSpaceDE w:val="0"/>
              <w:autoSpaceDN w:val="0"/>
              <w:adjustRightInd w:val="0"/>
              <w:spacing w:before="0" w:after="0" w:line="240" w:lineRule="auto"/>
              <w:jc w:val="both"/>
              <w:rPr>
                <w:rFonts w:cstheme="minorHAnsi"/>
                <w:sz w:val="22"/>
                <w:szCs w:val="22"/>
              </w:rPr>
            </w:pPr>
            <w:r w:rsidRPr="007B4292">
              <w:rPr>
                <w:rFonts w:cstheme="minorHAnsi"/>
                <w:sz w:val="22"/>
                <w:szCs w:val="22"/>
              </w:rPr>
              <w:t>Co więcej, obowiązek z pkt 3</w:t>
            </w:r>
            <w:r w:rsidRPr="007B4292">
              <w:rPr>
                <w:rFonts w:cstheme="minorHAnsi"/>
                <w:b/>
                <w:sz w:val="22"/>
                <w:szCs w:val="22"/>
              </w:rPr>
              <w:t xml:space="preserve"> </w:t>
            </w:r>
            <w:r w:rsidRPr="007B4292">
              <w:rPr>
                <w:rFonts w:cstheme="minorHAnsi"/>
                <w:sz w:val="22"/>
                <w:szCs w:val="22"/>
              </w:rPr>
              <w:t xml:space="preserve">(podobnie jak i cały projekt rozporządzenia) powinien dotyczyć jedynie zagrożeń, które miały istotny wpływ na funkcjonowanie sieci lub usług. Tymczasem, dotyczy on wszystkich incydentów, nawet tych błahych. Izba zwraca również uwagę na fakt błędnego odesłania w tym punkcie do art. 9 lit. b i e rozporządzenia w sprawie ENISA. Mianowicie, rozporządzenie w sprawie ENISA nie definiuje samodzielnie pojęcia „incydent”, tylko odwołuje się w tym zakresie do </w:t>
            </w:r>
            <w:r w:rsidRPr="007B4292">
              <w:rPr>
                <w:rFonts w:cstheme="minorHAnsi"/>
                <w:sz w:val="22"/>
                <w:szCs w:val="22"/>
                <w:shd w:val="clear" w:color="auto" w:fill="FFFFFF"/>
              </w:rPr>
              <w:t xml:space="preserve">art. 4 pkt 7 dyrektywy (UE) 2016/1148 </w:t>
            </w:r>
            <w:r w:rsidRPr="007B4292">
              <w:rPr>
                <w:rFonts w:cstheme="minorHAnsi"/>
                <w:sz w:val="22"/>
                <w:szCs w:val="22"/>
              </w:rPr>
              <w:t>w sprawie środków na rzecz wysokiego poziomu bezpieczeństwa sieci i systemów informatycznych na ternie Unii, której przepisy</w:t>
            </w:r>
            <w:r w:rsidR="00A31FCB" w:rsidRPr="007B4292">
              <w:rPr>
                <w:rFonts w:cstheme="minorHAnsi"/>
                <w:sz w:val="22"/>
                <w:szCs w:val="22"/>
              </w:rPr>
              <w:t xml:space="preserve"> </w:t>
            </w:r>
            <w:r w:rsidRPr="007B4292">
              <w:rPr>
                <w:rFonts w:cstheme="minorHAnsi"/>
                <w:sz w:val="22"/>
                <w:szCs w:val="22"/>
              </w:rPr>
              <w:t>z kolei nie stosują się do przedsiębiorców telekomunikacyjnych niebędących dostawcami usług kluczowych. Tym samym określenie „incydent” jest definiowane stosownie do działalności operatorów usług kluczowych, która nie zawsze będzie odpowiadać działalności wszystkich przedsiębiorców telekomunikacyjnych.</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F517BF" w:rsidP="007B4292">
            <w:pPr>
              <w:pStyle w:val="Nagwek"/>
              <w:spacing w:before="0" w:after="0" w:line="240" w:lineRule="auto"/>
              <w:contextualSpacing/>
              <w:jc w:val="both"/>
              <w:rPr>
                <w:rFonts w:cstheme="minorHAnsi"/>
                <w:sz w:val="22"/>
                <w:szCs w:val="22"/>
              </w:rPr>
            </w:pPr>
            <w:r w:rsidRPr="007B4292">
              <w:rPr>
                <w:rFonts w:cstheme="minorHAnsi"/>
                <w:sz w:val="22"/>
                <w:szCs w:val="22"/>
              </w:rPr>
              <w:t>W ocenie MC dokument jest wyczerpujący i nie ma potrzeby powoływać się na inne publikacje. Należy dodatkowo wskazać, że zgodnie z upoważnieniem  ustawowym należy opierać się przede wszystkim na publikacjach ENISA.</w:t>
            </w:r>
          </w:p>
          <w:p w:rsidR="008C1C2B" w:rsidRPr="007B4292" w:rsidRDefault="008C1C2B" w:rsidP="007B4292">
            <w:pPr>
              <w:pStyle w:val="Nagwek"/>
              <w:spacing w:before="0" w:after="0" w:line="240" w:lineRule="auto"/>
              <w:contextualSpacing/>
              <w:jc w:val="both"/>
              <w:rPr>
                <w:rFonts w:cstheme="minorHAnsi"/>
                <w:sz w:val="22"/>
                <w:szCs w:val="22"/>
              </w:rPr>
            </w:pPr>
            <w:r w:rsidRPr="007B4292">
              <w:rPr>
                <w:rFonts w:cstheme="minorHAnsi"/>
                <w:sz w:val="22"/>
                <w:szCs w:val="22"/>
              </w:rPr>
              <w:t>Termin „incydent” pojawia się tylko w kontekście dokumentu ENISA. Należy wskazać, że w nowym EKŁE zamiast „naruszeń” są już „incydenty”.</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A61414"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Zmieniono brzmienie przez usunięcie odesłania do dokumentów ENISA. </w:t>
            </w:r>
            <w:r w:rsidR="00C6559F" w:rsidRPr="007B4292">
              <w:rPr>
                <w:rFonts w:cstheme="minorHAnsi"/>
                <w:sz w:val="22"/>
                <w:szCs w:val="22"/>
              </w:rPr>
              <w:t>Dodatkowo, zostanie rozszerzone uzasadnienie.</w:t>
            </w:r>
          </w:p>
        </w:tc>
      </w:tr>
      <w:tr w:rsidR="00A31E36" w:rsidRPr="007B4292" w:rsidTr="007B4292">
        <w:trPr>
          <w:trHeight w:val="2706"/>
        </w:trPr>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4</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tabs>
                <w:tab w:val="left" w:pos="567"/>
                <w:tab w:val="left" w:pos="2820"/>
              </w:tabs>
              <w:autoSpaceDE w:val="0"/>
              <w:autoSpaceDN w:val="0"/>
              <w:adjustRightInd w:val="0"/>
              <w:spacing w:before="0" w:after="0" w:line="240" w:lineRule="auto"/>
              <w:jc w:val="both"/>
              <w:rPr>
                <w:rFonts w:cstheme="minorHAnsi"/>
                <w:sz w:val="22"/>
                <w:szCs w:val="22"/>
              </w:rPr>
            </w:pPr>
            <w:r w:rsidRPr="007B4292">
              <w:rPr>
                <w:rFonts w:cstheme="minorHAnsi"/>
                <w:sz w:val="22"/>
                <w:szCs w:val="22"/>
              </w:rPr>
              <w:t xml:space="preserve">Obowiązek z pkt 4 § 2 projektu rozporządzenia  jest właściwie kontynuacją obowiązku z pkt 3 i nie powinien być od niego oddzielony. Wraz z pkt 1 oznacza on obowiązek przygotowania dokumentacji (i jej aktualizacji) w zakresie prawdopodobieństwa wystąpienia wszelkich naruszeń w sieci danego operatora. Zdaniem Izby </w:t>
            </w:r>
            <w:r w:rsidRPr="007B4292">
              <w:rPr>
                <w:rFonts w:cstheme="minorHAnsi"/>
                <w:b/>
                <w:sz w:val="22"/>
                <w:szCs w:val="22"/>
              </w:rPr>
              <w:t xml:space="preserve">obowiązek ten jest nieadekwatny do celu jakim jest zwalczanie istotnych zagrożeń </w:t>
            </w:r>
            <w:r w:rsidRPr="007B4292">
              <w:rPr>
                <w:rFonts w:cstheme="minorHAnsi"/>
                <w:b/>
                <w:sz w:val="22"/>
                <w:szCs w:val="22"/>
              </w:rPr>
              <w:br/>
              <w:t>w sieciach telekomunikacyjnych</w:t>
            </w:r>
            <w:r w:rsidRPr="007B4292">
              <w:rPr>
                <w:rFonts w:cstheme="minorHAnsi"/>
                <w:sz w:val="22"/>
                <w:szCs w:val="22"/>
              </w:rPr>
              <w:t xml:space="preserve"> (dotyczy wszelkich naruszeń). Ponadto należy przeanalizować, czy środek ten powinien znaleźć się </w:t>
            </w:r>
            <w:r w:rsidR="00A31FCB" w:rsidRPr="007B4292">
              <w:rPr>
                <w:rFonts w:cstheme="minorHAnsi"/>
                <w:sz w:val="22"/>
                <w:szCs w:val="22"/>
              </w:rPr>
              <w:br/>
            </w:r>
            <w:r w:rsidRPr="007B4292">
              <w:rPr>
                <w:rFonts w:cstheme="minorHAnsi"/>
                <w:sz w:val="22"/>
                <w:szCs w:val="22"/>
              </w:rPr>
              <w:t xml:space="preserve">w katalogu minimalnych środków jakie muszą podjąć wszyscy przedsiębiorcy telekomunikacyjni. </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Uwaga nieuwzględniona.</w:t>
            </w:r>
          </w:p>
          <w:p w:rsidR="00ED4C24"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MC nie stoi na stanowisku, aby udokumentowana ocena zagrożeń była nieadekwatnym środkiem realizacji celu ochrony sieci.</w:t>
            </w:r>
          </w:p>
          <w:p w:rsidR="002272A4" w:rsidRPr="007B4292" w:rsidRDefault="002272A4"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2272A4" w:rsidRPr="007B4292" w:rsidRDefault="002272A4" w:rsidP="007B4292">
            <w:pPr>
              <w:pStyle w:val="Nagwek"/>
              <w:spacing w:before="0" w:after="0" w:line="240" w:lineRule="auto"/>
              <w:contextualSpacing/>
              <w:jc w:val="both"/>
              <w:rPr>
                <w:rFonts w:cstheme="minorHAnsi"/>
                <w:sz w:val="22"/>
                <w:szCs w:val="22"/>
              </w:rPr>
            </w:pPr>
            <w:r w:rsidRPr="007B4292">
              <w:rPr>
                <w:rFonts w:cstheme="minorHAnsi"/>
                <w:sz w:val="22"/>
                <w:szCs w:val="22"/>
              </w:rPr>
              <w:t>PIKE przyjęło wyjaśnienia.</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5</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Działalnie z § 2 pkt 5 projektu rozporządzenia jest związane bezpośrednio z pkt 3 i 4 i dlatego powinien być opracowany łącznie </w:t>
            </w:r>
            <w:r w:rsidR="00A31FCB" w:rsidRPr="007B4292">
              <w:rPr>
                <w:rFonts w:cstheme="minorHAnsi"/>
                <w:sz w:val="22"/>
                <w:szCs w:val="22"/>
              </w:rPr>
              <w:br/>
            </w:r>
            <w:r w:rsidRPr="007B4292">
              <w:rPr>
                <w:rFonts w:cstheme="minorHAnsi"/>
                <w:sz w:val="22"/>
                <w:szCs w:val="22"/>
              </w:rPr>
              <w:t xml:space="preserve">z nimi. Tym samym </w:t>
            </w:r>
            <w:r w:rsidRPr="007B4292">
              <w:rPr>
                <w:rFonts w:cstheme="minorHAnsi"/>
                <w:b/>
                <w:sz w:val="22"/>
                <w:szCs w:val="22"/>
              </w:rPr>
              <w:t>regulacji tej dotyczą te same zarzuty, które Izba podniosła w pkt 3 i 4 stanowiska.</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p>
          <w:p w:rsidR="00ED4C24"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Punkty 3-6 stanowią całość, jednak dla czytelności zostały rozbite. </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Przyjęto nowe brzmienie przepisu</w:t>
            </w:r>
            <w:r w:rsidR="00C6559F" w:rsidRPr="007B4292">
              <w:rPr>
                <w:rFonts w:cstheme="minorHAnsi"/>
                <w:sz w:val="22"/>
                <w:szCs w:val="22"/>
              </w:rPr>
              <w:t>.</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6</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Ponownie, </w:t>
            </w:r>
            <w:r w:rsidRPr="007B4292">
              <w:rPr>
                <w:rFonts w:cstheme="minorHAnsi"/>
                <w:b/>
                <w:sz w:val="22"/>
                <w:szCs w:val="22"/>
              </w:rPr>
              <w:t>działanie z § 2 pkt 6 projektu rozporządzenia należy rozpatrywać łącznie z działaniami z pkt 3, 4 i 5</w:t>
            </w:r>
            <w:r w:rsidRPr="007B4292">
              <w:rPr>
                <w:rFonts w:cstheme="minorHAnsi"/>
                <w:sz w:val="22"/>
                <w:szCs w:val="22"/>
              </w:rPr>
              <w:t>. Stosują się zatem do niego podniesione już wcześniej zarzuty Izby, przede wszystkim dotyczące obowiązku podejmowania określonych działań (i dokumentowania tego faktu) w stosunku do każdego rodzaju incydentu/zagrożenia, a nie jak stanowi art. 175a tylko tych, które miały istotny wpływ na funkcjonowanie sieci lub usług.</w:t>
            </w:r>
          </w:p>
        </w:tc>
        <w:tc>
          <w:tcPr>
            <w:tcW w:w="4816" w:type="dxa"/>
            <w:tcBorders>
              <w:top w:val="single" w:sz="4" w:space="0" w:color="auto"/>
              <w:left w:val="single" w:sz="4" w:space="0" w:color="auto"/>
              <w:bottom w:val="single" w:sz="4" w:space="0" w:color="auto"/>
              <w:right w:val="single" w:sz="4" w:space="0" w:color="auto"/>
            </w:tcBorders>
          </w:tcPr>
          <w:p w:rsidR="00ED4C24"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p>
          <w:p w:rsidR="00A31E36"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Punkty 3-6 stanowią całość, jednak dla czytelności zostały rozbite.</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Przyjęto nowe brzmienie przepisu.</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7</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 2 pkt 7 projektu rozporządzenia jest pierwszym i jedynym, który skupia się na kluczowych/istotnych elementach sieci telekomunikacyjnych, które powinny być chronione. Izba nie ma zastrzeżeń co do konieczności przygotowania takich procedur, ale wskazuje, że sam obowiązek może okazać się niewystarczający dla spójnego zwalczania zagrożeń. </w:t>
            </w:r>
            <w:r w:rsidRPr="007B4292">
              <w:rPr>
                <w:rFonts w:cstheme="minorHAnsi"/>
                <w:b/>
                <w:sz w:val="22"/>
                <w:szCs w:val="22"/>
              </w:rPr>
              <w:t>Działanie to powinno zostać uzupełnione o niewiążące rekomendacje UKE i NASK w zakresie realizacji tego obowiązku</w:t>
            </w:r>
            <w:r w:rsidRPr="007B4292">
              <w:rPr>
                <w:rFonts w:cstheme="minorHAnsi"/>
                <w:sz w:val="22"/>
                <w:szCs w:val="22"/>
              </w:rPr>
              <w:t xml:space="preserve">. Brak takich rekomendacji oznacza brak spójności działań operatorów w ochronie swoich sieci, co także utrudni UKE i NASK analizę zwalczania zagrożeń. </w:t>
            </w:r>
          </w:p>
          <w:p w:rsidR="00A31E36" w:rsidRPr="007B4292" w:rsidRDefault="00A31E36" w:rsidP="007B4292">
            <w:pPr>
              <w:spacing w:before="0" w:after="0" w:line="240" w:lineRule="auto"/>
              <w:contextualSpacing/>
              <w:jc w:val="both"/>
              <w:rPr>
                <w:rFonts w:cstheme="minorHAnsi"/>
                <w:sz w:val="22"/>
                <w:szCs w:val="22"/>
              </w:rPr>
            </w:pPr>
            <w:r w:rsidRPr="007B4292">
              <w:rPr>
                <w:rFonts w:cstheme="minorHAnsi"/>
                <w:b/>
                <w:sz w:val="22"/>
                <w:szCs w:val="22"/>
              </w:rPr>
              <w:t xml:space="preserve">Konieczne jest uściślenie, że nie chodzi w tym działaniu </w:t>
            </w:r>
            <w:r w:rsidR="00A31FCB" w:rsidRPr="007B4292">
              <w:rPr>
                <w:rFonts w:cstheme="minorHAnsi"/>
                <w:b/>
                <w:sz w:val="22"/>
                <w:szCs w:val="22"/>
              </w:rPr>
              <w:br/>
            </w:r>
            <w:r w:rsidRPr="007B4292">
              <w:rPr>
                <w:rFonts w:cstheme="minorHAnsi"/>
                <w:b/>
                <w:sz w:val="22"/>
                <w:szCs w:val="22"/>
              </w:rPr>
              <w:t xml:space="preserve">o przetwarzanie danych tranzytowanych w sieciach telekomunikacyjnych w ramach usługi dostępu do sieci Internet, </w:t>
            </w:r>
            <w:r w:rsidR="00A31FCB" w:rsidRPr="007B4292">
              <w:rPr>
                <w:rFonts w:cstheme="minorHAnsi"/>
                <w:b/>
                <w:sz w:val="22"/>
                <w:szCs w:val="22"/>
              </w:rPr>
              <w:br/>
            </w:r>
            <w:r w:rsidRPr="007B4292">
              <w:rPr>
                <w:rFonts w:cstheme="minorHAnsi"/>
                <w:b/>
                <w:sz w:val="22"/>
                <w:szCs w:val="22"/>
              </w:rPr>
              <w:lastRenderedPageBreak/>
              <w:t>a jedynie o dane wrażliwe znajdujące się w systemach przedsiębiorców telekomunikacyjnych</w:t>
            </w:r>
            <w:r w:rsidRPr="007B4292">
              <w:rPr>
                <w:rFonts w:cstheme="minorHAnsi"/>
                <w:sz w:val="22"/>
                <w:szCs w:val="22"/>
              </w:rPr>
              <w:t xml:space="preserve">. </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lastRenderedPageBreak/>
              <w:t>Wyjaśnienie.</w:t>
            </w:r>
          </w:p>
          <w:p w:rsidR="00ED4C24"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Rozporządzenie realizuje delegację ustawową, która umożliwia odniesienie się do dokumentów KE i ENISA, co też uczyniono. </w:t>
            </w:r>
          </w:p>
          <w:p w:rsidR="00ED4C24"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Nic nie stoi na przeszkodzie, aby stosować też inne dobre praktyki czy rekomendacje.</w:t>
            </w:r>
          </w:p>
          <w:p w:rsidR="00ED4C24" w:rsidRPr="007B4292" w:rsidRDefault="00ED4C24" w:rsidP="007B4292">
            <w:pPr>
              <w:pStyle w:val="Nagwek"/>
              <w:spacing w:before="0" w:after="0" w:line="240" w:lineRule="auto"/>
              <w:contextualSpacing/>
              <w:jc w:val="both"/>
              <w:rPr>
                <w:rFonts w:cstheme="minorHAnsi"/>
                <w:sz w:val="22"/>
                <w:szCs w:val="22"/>
              </w:rPr>
            </w:pPr>
          </w:p>
          <w:p w:rsidR="00ED4C24" w:rsidRPr="007B4292" w:rsidRDefault="00ED4C24" w:rsidP="007B4292">
            <w:pPr>
              <w:pStyle w:val="Nagwek"/>
              <w:spacing w:before="0" w:after="0" w:line="240" w:lineRule="auto"/>
              <w:contextualSpacing/>
              <w:jc w:val="both"/>
              <w:rPr>
                <w:rFonts w:cstheme="minorHAnsi"/>
                <w:sz w:val="22"/>
                <w:szCs w:val="22"/>
              </w:rPr>
            </w:pPr>
            <w:r w:rsidRPr="007B4292">
              <w:rPr>
                <w:rFonts w:cstheme="minorHAnsi"/>
                <w:sz w:val="22"/>
                <w:szCs w:val="22"/>
              </w:rPr>
              <w:t>W zakresie danych tranzytowych uwaga jest nieuwzględniona. Niedopuszczalne jest pomijanie zabezpieczeń dla danych tranzytowych.</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8</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 2 pkt 8 projektu rozporządzenia częściowo zawiera się już </w:t>
            </w:r>
            <w:r w:rsidR="00A31FCB" w:rsidRPr="007B4292">
              <w:rPr>
                <w:rFonts w:cstheme="minorHAnsi"/>
                <w:sz w:val="22"/>
                <w:szCs w:val="22"/>
              </w:rPr>
              <w:br/>
            </w:r>
            <w:r w:rsidRPr="007B4292">
              <w:rPr>
                <w:rFonts w:cstheme="minorHAnsi"/>
                <w:sz w:val="22"/>
                <w:szCs w:val="22"/>
              </w:rPr>
              <w:t xml:space="preserve">w działaniach z pkt 7. Ustanowienie zasad i procedur dostępu do kluczowych zasobów oznacza również wdrożenie tych procedur. Jednocześnie pojawia się tu nowy obowiązek jakim jest stałe </w:t>
            </w:r>
            <w:r w:rsidRPr="007B4292">
              <w:rPr>
                <w:rFonts w:cstheme="minorHAnsi"/>
                <w:b/>
                <w:sz w:val="22"/>
                <w:szCs w:val="22"/>
              </w:rPr>
              <w:t>monitorowanie tego dostępu</w:t>
            </w:r>
            <w:r w:rsidRPr="007B4292">
              <w:rPr>
                <w:rFonts w:cstheme="minorHAnsi"/>
                <w:sz w:val="22"/>
                <w:szCs w:val="22"/>
              </w:rPr>
              <w:t xml:space="preserve">, przy czym </w:t>
            </w:r>
            <w:r w:rsidRPr="007B4292">
              <w:rPr>
                <w:rFonts w:cstheme="minorHAnsi"/>
                <w:b/>
                <w:sz w:val="22"/>
                <w:szCs w:val="22"/>
              </w:rPr>
              <w:t>projekt rozporządzenia nie wyjaśnia na czym takie działanie miałoby polegać</w:t>
            </w:r>
            <w:r w:rsidRPr="007B4292">
              <w:rPr>
                <w:rFonts w:cstheme="minorHAnsi"/>
                <w:sz w:val="22"/>
                <w:szCs w:val="22"/>
              </w:rPr>
              <w:t xml:space="preserve">. </w:t>
            </w:r>
          </w:p>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Odrębnego omówienia wymaga kwestia środków reagowania </w:t>
            </w:r>
            <w:r w:rsidR="00A31FCB" w:rsidRPr="007B4292">
              <w:rPr>
                <w:rFonts w:cstheme="minorHAnsi"/>
                <w:sz w:val="22"/>
                <w:szCs w:val="22"/>
              </w:rPr>
              <w:br/>
            </w:r>
            <w:r w:rsidRPr="007B4292">
              <w:rPr>
                <w:rFonts w:cstheme="minorHAnsi"/>
                <w:sz w:val="22"/>
                <w:szCs w:val="22"/>
              </w:rPr>
              <w:t xml:space="preserve">na nieuprawniony dostęp lub próbę takiego dostępu. Z uwagi na to, </w:t>
            </w:r>
            <w:r w:rsidR="00A31FCB" w:rsidRPr="007B4292">
              <w:rPr>
                <w:rFonts w:cstheme="minorHAnsi"/>
                <w:sz w:val="22"/>
                <w:szCs w:val="22"/>
              </w:rPr>
              <w:br/>
            </w:r>
            <w:r w:rsidRPr="007B4292">
              <w:rPr>
                <w:rFonts w:cstheme="minorHAnsi"/>
                <w:sz w:val="22"/>
                <w:szCs w:val="22"/>
              </w:rPr>
              <w:t xml:space="preserve">że mówimy tu o włamaniach do systemów informatycznych operatora należy uznać to zagrożenie za mające znaczący wpływ na integralność sieci oraz usług.  W tym wypadku należy wskazać, że działania samych operatorów mogą okazać się niewystarczające i potrzebne będzie rządowe wsparcie przy zwalczaniu takich włamań. Nie może być tak, </w:t>
            </w:r>
            <w:r w:rsidR="00A31FCB" w:rsidRPr="007B4292">
              <w:rPr>
                <w:rFonts w:cstheme="minorHAnsi"/>
                <w:sz w:val="22"/>
                <w:szCs w:val="22"/>
              </w:rPr>
              <w:br/>
            </w:r>
            <w:r w:rsidRPr="007B4292">
              <w:rPr>
                <w:rFonts w:cstheme="minorHAnsi"/>
                <w:sz w:val="22"/>
                <w:szCs w:val="22"/>
              </w:rPr>
              <w:t xml:space="preserve">że operator sam musi się uporać z atakami hackerskimi i to tylko poprzez zwiększanie nakładów na swoje zabezpieczenia. W tym względzie ewentualne działania przedsiębiorcy muszą być skorelowane z aktywnymi działaniami policji oraz NASK.  </w:t>
            </w:r>
            <w:r w:rsidRPr="007B4292">
              <w:rPr>
                <w:rFonts w:cstheme="minorHAnsi"/>
                <w:b/>
                <w:sz w:val="22"/>
                <w:szCs w:val="22"/>
              </w:rPr>
              <w:t>Jedyne konkretne działania, jakie operator może sam podjąć zostały opisane w art. 175c ust. 1 Pt, przy czym środki te nie zostały wymienione w projekcie rozporządzenia</w:t>
            </w:r>
            <w:r w:rsidRPr="007B4292">
              <w:rPr>
                <w:rFonts w:cstheme="minorHAnsi"/>
                <w:sz w:val="22"/>
                <w:szCs w:val="22"/>
              </w:rPr>
              <w:t>.</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p>
          <w:p w:rsidR="00AB171C" w:rsidRPr="007B4292" w:rsidRDefault="00AB171C" w:rsidP="007B4292">
            <w:pPr>
              <w:pStyle w:val="Nagwek"/>
              <w:spacing w:before="0" w:after="0" w:line="240" w:lineRule="auto"/>
              <w:contextualSpacing/>
              <w:rPr>
                <w:rFonts w:cstheme="minorHAnsi"/>
                <w:sz w:val="22"/>
                <w:szCs w:val="22"/>
              </w:rPr>
            </w:pPr>
            <w:r w:rsidRPr="007B4292">
              <w:rPr>
                <w:rFonts w:cstheme="minorHAnsi"/>
                <w:sz w:val="22"/>
                <w:szCs w:val="22"/>
              </w:rPr>
              <w:t>Prośba o propozycje na konferencji uzgodnieniowej.</w:t>
            </w: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Propozycja podłączenia operatorów do KSC w 2017 r. nie spotkała się z aprobatą rynku.</w:t>
            </w:r>
          </w:p>
          <w:p w:rsidR="00663CFA" w:rsidRPr="007B4292" w:rsidRDefault="00663CFA" w:rsidP="007B4292">
            <w:pPr>
              <w:pStyle w:val="Nagwek"/>
              <w:spacing w:before="0" w:after="0" w:line="240" w:lineRule="auto"/>
              <w:contextualSpacing/>
              <w:jc w:val="both"/>
              <w:rPr>
                <w:rFonts w:cstheme="minorHAnsi"/>
                <w:sz w:val="22"/>
                <w:szCs w:val="22"/>
              </w:rPr>
            </w:pPr>
          </w:p>
          <w:p w:rsidR="00663CFA" w:rsidRPr="007B4292" w:rsidRDefault="00663CFA"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Na konferencji: </w:t>
            </w:r>
          </w:p>
          <w:p w:rsidR="00C6559F" w:rsidRPr="007B4292" w:rsidRDefault="00C6559F"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MC stoi na stanowisku, że czym innym jest ustanowienie zasad dostępu, a czym inne wprowadzenie zabezpieczeń przed nieuprawnionym dostępem. </w:t>
            </w:r>
          </w:p>
          <w:p w:rsidR="00C6559F" w:rsidRPr="007B4292" w:rsidRDefault="00C6559F" w:rsidP="007B4292">
            <w:pPr>
              <w:pStyle w:val="Nagwek"/>
              <w:spacing w:before="0" w:after="0" w:line="240" w:lineRule="auto"/>
              <w:contextualSpacing/>
              <w:jc w:val="both"/>
              <w:rPr>
                <w:rFonts w:cstheme="minorHAnsi"/>
                <w:sz w:val="22"/>
                <w:szCs w:val="22"/>
              </w:rPr>
            </w:pPr>
            <w:r w:rsidRPr="007B4292">
              <w:rPr>
                <w:rFonts w:cstheme="minorHAnsi"/>
                <w:sz w:val="22"/>
                <w:szCs w:val="22"/>
              </w:rPr>
              <w:t>PIKE przyjęło wyjaśnienia.</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9</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Kwestią procedur dostępu do przetwarzanych danych zajmują się już pkt 7 i 8 § 2 projektu rozporządzenia. Zdaniem Izby nie jest potrzebne wyodrębnianie zasad bezpieczeństwa ich przetwarzania, jak to czyni pkt 9 § 2 projektu, od zasad ochrony danych na dostęp do nich opisanych w pkt 7 i 8. </w:t>
            </w:r>
            <w:r w:rsidRPr="007B4292">
              <w:rPr>
                <w:rFonts w:cstheme="minorHAnsi"/>
                <w:b/>
                <w:sz w:val="22"/>
                <w:szCs w:val="22"/>
              </w:rPr>
              <w:t>Obie te materie są ze sobą powiązane i powinny być uregulowane razem.</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W opinii projektodawcy kwestie ustanawiania procedur i wdrażanie zabezpieczeń to odrębne działania. </w:t>
            </w: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Są one uregulowane w jednym rozporządzeniu i są czytane razem; rozbito je dla czytelności.</w:t>
            </w:r>
          </w:p>
          <w:p w:rsidR="00575865" w:rsidRPr="007B4292" w:rsidRDefault="00575865" w:rsidP="007B4292">
            <w:pPr>
              <w:pStyle w:val="Nagwek"/>
              <w:spacing w:before="0" w:after="0" w:line="240" w:lineRule="auto"/>
              <w:contextualSpacing/>
              <w:jc w:val="both"/>
              <w:rPr>
                <w:rFonts w:cstheme="minorHAnsi"/>
                <w:sz w:val="22"/>
                <w:szCs w:val="22"/>
              </w:rPr>
            </w:pPr>
          </w:p>
          <w:p w:rsidR="00575865" w:rsidRPr="007B4292" w:rsidRDefault="00575865"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575865" w:rsidRPr="007B4292" w:rsidRDefault="00575865"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10</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Zdaniem PIKE pkt 10 § 2 projektu rozporządzenia jest już zrealizowany przy okazji działań z pkt 7-9. Podobnie jak w przypadku innych działań, przedsiębiorca telekomunikacyjny, zwłaszcza mały lub średni nie może zostać pozostawiony samemu sobie przy zwalczaniu przestępstw hackerskich. Jego działania powinny być skorelowane z działaniami </w:t>
            </w:r>
            <w:r w:rsidRPr="007B4292">
              <w:rPr>
                <w:rFonts w:cstheme="minorHAnsi"/>
                <w:sz w:val="22"/>
                <w:szCs w:val="22"/>
              </w:rPr>
              <w:lastRenderedPageBreak/>
              <w:t xml:space="preserve">odpowiednich organów ścigania. Zdaniem Izby pasywne działanie samych przedsiębiorców telekomunikacyjnych polegające </w:t>
            </w:r>
            <w:r w:rsidR="00A31FCB" w:rsidRPr="007B4292">
              <w:rPr>
                <w:rFonts w:cstheme="minorHAnsi"/>
                <w:sz w:val="22"/>
                <w:szCs w:val="22"/>
              </w:rPr>
              <w:br/>
            </w:r>
            <w:r w:rsidRPr="007B4292">
              <w:rPr>
                <w:rFonts w:cstheme="minorHAnsi"/>
                <w:sz w:val="22"/>
                <w:szCs w:val="22"/>
              </w:rPr>
              <w:t xml:space="preserve">na zwiększaniu bezpieczeństwa swoich sieci nie wyeliminuje skutecznie zjawisk hackerskich. Do tego </w:t>
            </w:r>
            <w:r w:rsidRPr="007B4292">
              <w:rPr>
                <w:rFonts w:cstheme="minorHAnsi"/>
                <w:b/>
                <w:sz w:val="22"/>
                <w:szCs w:val="22"/>
              </w:rPr>
              <w:t>potrzebne są aktywne działania organów ścigania</w:t>
            </w:r>
            <w:r w:rsidRPr="007B4292">
              <w:rPr>
                <w:rFonts w:cstheme="minorHAnsi"/>
                <w:sz w:val="22"/>
                <w:szCs w:val="22"/>
              </w:rPr>
              <w:t xml:space="preserve">. </w:t>
            </w:r>
          </w:p>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Dodatkowo jak wskazano w pkt 7 stanowiska, w pkt 10 § 2 projektu także powinno być </w:t>
            </w:r>
            <w:r w:rsidRPr="007B4292">
              <w:rPr>
                <w:rFonts w:cstheme="minorHAnsi"/>
                <w:b/>
                <w:sz w:val="22"/>
                <w:szCs w:val="22"/>
              </w:rPr>
              <w:t>uściślone, że nie chodzi przy tym działaniu o dane transmitowane w sieciach telekomunikacyjnych w ramach usługi zapewnienia dostępu do sieci Internet</w:t>
            </w:r>
            <w:r w:rsidRPr="007B4292">
              <w:rPr>
                <w:rFonts w:cstheme="minorHAnsi"/>
                <w:sz w:val="22"/>
                <w:szCs w:val="22"/>
              </w:rPr>
              <w:t xml:space="preserve">. </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lastRenderedPageBreak/>
              <w:t>Wyjaśnienie.</w:t>
            </w: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Niniejsze rozporządzenie nie reguluje działań Policji.</w:t>
            </w:r>
          </w:p>
          <w:p w:rsidR="00AB171C" w:rsidRPr="007B4292" w:rsidRDefault="00AB171C" w:rsidP="007B4292">
            <w:pPr>
              <w:pStyle w:val="Nagwek"/>
              <w:spacing w:before="0" w:after="0" w:line="240" w:lineRule="auto"/>
              <w:contextualSpacing/>
              <w:jc w:val="both"/>
              <w:rPr>
                <w:rFonts w:cstheme="minorHAnsi"/>
                <w:sz w:val="22"/>
                <w:szCs w:val="22"/>
              </w:rPr>
            </w:pP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lastRenderedPageBreak/>
              <w:t>W zakresie danych tranzytowych uwaga jest nieuwzględniona. Niedopuszczalne jest pomijanie zabezpieczeń dla danych tranzytowych.</w:t>
            </w:r>
          </w:p>
          <w:p w:rsidR="00575865" w:rsidRPr="007B4292" w:rsidRDefault="00575865" w:rsidP="007B4292">
            <w:pPr>
              <w:pStyle w:val="Nagwek"/>
              <w:spacing w:before="0" w:after="0" w:line="240" w:lineRule="auto"/>
              <w:contextualSpacing/>
              <w:jc w:val="both"/>
              <w:rPr>
                <w:rFonts w:cstheme="minorHAnsi"/>
                <w:sz w:val="22"/>
                <w:szCs w:val="22"/>
              </w:rPr>
            </w:pPr>
          </w:p>
          <w:p w:rsidR="00575865" w:rsidRPr="007B4292" w:rsidRDefault="00575865" w:rsidP="007B4292">
            <w:pPr>
              <w:pStyle w:val="Nagwek"/>
              <w:spacing w:before="0" w:after="0" w:line="240" w:lineRule="auto"/>
              <w:contextualSpacing/>
              <w:jc w:val="both"/>
              <w:rPr>
                <w:rFonts w:cstheme="minorHAnsi"/>
                <w:sz w:val="22"/>
                <w:szCs w:val="22"/>
              </w:rPr>
            </w:pPr>
          </w:p>
          <w:p w:rsidR="00575865" w:rsidRPr="007B4292" w:rsidRDefault="00575865"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575865" w:rsidRPr="007B4292" w:rsidRDefault="00575865"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11</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Prawodawca w § 2 pkt 11 projektu rozporządzenia nakazuje analizę wszystkich umów międzyoperatorskich pod kątem bezpieczeństwa </w:t>
            </w:r>
            <w:r w:rsidR="00A31FCB" w:rsidRPr="007B4292">
              <w:rPr>
                <w:rFonts w:cstheme="minorHAnsi"/>
                <w:sz w:val="22"/>
                <w:szCs w:val="22"/>
              </w:rPr>
              <w:br/>
            </w:r>
            <w:r w:rsidRPr="007B4292">
              <w:rPr>
                <w:rFonts w:cstheme="minorHAnsi"/>
                <w:sz w:val="22"/>
                <w:szCs w:val="22"/>
              </w:rPr>
              <w:t xml:space="preserve">i integracji sieci oraz usług. Obecnie co do zasady jest to już wykonywane, ale przede wszystkim w kontekście interoperacyjności usług telekomunikacyjnych (telefonicznych oraz wymiany danych w sieciach). </w:t>
            </w:r>
            <w:r w:rsidRPr="007B4292">
              <w:rPr>
                <w:rFonts w:cstheme="minorHAnsi"/>
                <w:b/>
                <w:sz w:val="22"/>
                <w:szCs w:val="22"/>
              </w:rPr>
              <w:t xml:space="preserve">Przedmiotowy obowiązek można natomiast rozumieć jako konieczność analizy wszystkich umów międzyoperatorskich pod katem zwalczania cyberprzestępstw czy zapobiegania fizycznym uszkodzeniom sieci telekomunikacyjnych. Taki nowy obowiązek wymagałby przerabiania większości umów międzyoperatorskich </w:t>
            </w:r>
            <w:r w:rsidR="00A31FCB" w:rsidRPr="007B4292">
              <w:rPr>
                <w:rFonts w:cstheme="minorHAnsi"/>
                <w:b/>
                <w:sz w:val="22"/>
                <w:szCs w:val="22"/>
              </w:rPr>
              <w:br/>
            </w:r>
            <w:r w:rsidRPr="007B4292">
              <w:rPr>
                <w:rFonts w:cstheme="minorHAnsi"/>
                <w:b/>
                <w:sz w:val="22"/>
                <w:szCs w:val="22"/>
              </w:rPr>
              <w:t>w sposób wymuszający ingerencję w transmisję danych</w:t>
            </w:r>
            <w:r w:rsidRPr="007B4292">
              <w:rPr>
                <w:rFonts w:cstheme="minorHAnsi"/>
                <w:sz w:val="22"/>
                <w:szCs w:val="22"/>
              </w:rPr>
              <w:t xml:space="preserve">.  </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r w:rsidR="00AB171C" w:rsidRPr="007B4292">
              <w:rPr>
                <w:rFonts w:cstheme="minorHAnsi"/>
                <w:sz w:val="22"/>
                <w:szCs w:val="22"/>
              </w:rPr>
              <w:t>.</w:t>
            </w: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Środek z </w:t>
            </w:r>
            <w:r w:rsidR="00575865" w:rsidRPr="007B4292">
              <w:rPr>
                <w:rFonts w:cstheme="minorHAnsi"/>
                <w:sz w:val="22"/>
                <w:szCs w:val="22"/>
              </w:rPr>
              <w:t xml:space="preserve">pkt </w:t>
            </w:r>
            <w:r w:rsidRPr="007B4292">
              <w:rPr>
                <w:rFonts w:cstheme="minorHAnsi"/>
                <w:sz w:val="22"/>
                <w:szCs w:val="22"/>
              </w:rPr>
              <w:t>11 wskazuje na obowiązek identyfikacji zagrożeń, a nie przerabiania większości umów międzyoperatorskich</w:t>
            </w:r>
            <w:r w:rsidR="00AC44BF" w:rsidRPr="007B4292">
              <w:rPr>
                <w:rFonts w:cstheme="minorHAnsi"/>
                <w:sz w:val="22"/>
                <w:szCs w:val="22"/>
              </w:rPr>
              <w:t xml:space="preserve"> </w:t>
            </w:r>
          </w:p>
          <w:p w:rsidR="00AB171C" w:rsidRPr="007B4292" w:rsidRDefault="00AB171C"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w sposób wymuszający ingerencję w transmisję danych.  </w:t>
            </w:r>
          </w:p>
          <w:p w:rsidR="00AC44BF" w:rsidRPr="007B4292" w:rsidRDefault="00AC44BF" w:rsidP="007B4292">
            <w:pPr>
              <w:pStyle w:val="Nagwek"/>
              <w:spacing w:before="0" w:after="0" w:line="240" w:lineRule="auto"/>
              <w:contextualSpacing/>
              <w:jc w:val="both"/>
              <w:rPr>
                <w:rFonts w:cstheme="minorHAnsi"/>
                <w:sz w:val="22"/>
                <w:szCs w:val="22"/>
              </w:rPr>
            </w:pPr>
          </w:p>
          <w:p w:rsidR="00AC44BF" w:rsidRPr="007B4292" w:rsidRDefault="00AC44BF"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AC44BF" w:rsidRPr="007B4292" w:rsidRDefault="00AC44BF"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12</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Obowiązek z § 2 pkt 12 projektu rozporządzenia znacząco wykracza poza delegację ustawową i jest nieproporcjonalny do celu, jakim jest zwalczanie zagrożeń. Projekt bowiem nakazuje ciągłe monitorowanie stanu sieci i jego dokumentowanie. Taka jego konstrukcja może być rozumiana jako konieczność ciągłego monitorowania wszelkich elementów sieci (nawet tych nieistotnych) i sporządzania z tego niepotrzebnej dokumentacji. Tymczasem </w:t>
            </w:r>
            <w:r w:rsidRPr="007B4292">
              <w:rPr>
                <w:rFonts w:cstheme="minorHAnsi"/>
                <w:b/>
                <w:sz w:val="22"/>
                <w:szCs w:val="22"/>
              </w:rPr>
              <w:t xml:space="preserve">obowiązek ten powinien się skupić wyłącznie na monitorowaniu i dokumentowaniu naruszeń bezpieczeństwa i integralności, mających istotny wpływ </w:t>
            </w:r>
            <w:r w:rsidR="00A31FCB" w:rsidRPr="007B4292">
              <w:rPr>
                <w:rFonts w:cstheme="minorHAnsi"/>
                <w:b/>
                <w:sz w:val="22"/>
                <w:szCs w:val="22"/>
              </w:rPr>
              <w:br/>
            </w:r>
            <w:r w:rsidRPr="007B4292">
              <w:rPr>
                <w:rFonts w:cstheme="minorHAnsi"/>
                <w:b/>
                <w:sz w:val="22"/>
                <w:szCs w:val="22"/>
              </w:rPr>
              <w:t>na funkcjonowanie sieci lub usług</w:t>
            </w:r>
            <w:r w:rsidRPr="007B4292">
              <w:rPr>
                <w:rFonts w:cstheme="minorHAnsi"/>
                <w:sz w:val="22"/>
                <w:szCs w:val="22"/>
              </w:rPr>
              <w:t xml:space="preserve">. </w:t>
            </w:r>
          </w:p>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Wyjaśnienia wymaga również kwestia ustalenia przyczyn naruszenia bezpieczeństwa. W opinii Izby operator powinien jedynie określać rodzaj naruszenia, natomiast wszelkie bardziej szczegółowe dane powinien przekazywać wyłącznie w wypadku posiadania ich przy okazji świadczenia usług. Przepis ten nie może nakazywać przedsiębiorcom telekomunikacyjnym prowadzenie samodzielnego dochodzenia w celu </w:t>
            </w:r>
            <w:r w:rsidRPr="007B4292">
              <w:rPr>
                <w:rFonts w:cstheme="minorHAnsi"/>
                <w:sz w:val="22"/>
                <w:szCs w:val="22"/>
              </w:rPr>
              <w:lastRenderedPageBreak/>
              <w:t>wykrycia szczegółowych źródeł naruszenia bezpieczeństwa sieci, zwłaszcza tych pochodzących spoza jego sieci.</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lastRenderedPageBreak/>
              <w:t>Wyjaśnienie.</w:t>
            </w:r>
          </w:p>
          <w:p w:rsidR="00B55492"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W opinii MC, nie jest możliwe monitorowanie wyłącznie naruszeń bezpieczeństwa i integralności mających istotny wpływ na funkcjonowanie sieci lub usług. Z </w:t>
            </w:r>
            <w:r w:rsidR="002272A4" w:rsidRPr="007B4292">
              <w:rPr>
                <w:rFonts w:cstheme="minorHAnsi"/>
                <w:sz w:val="22"/>
                <w:szCs w:val="22"/>
              </w:rPr>
              <w:t>definicji</w:t>
            </w:r>
            <w:r w:rsidRPr="007B4292">
              <w:rPr>
                <w:rFonts w:cstheme="minorHAnsi"/>
                <w:sz w:val="22"/>
                <w:szCs w:val="22"/>
              </w:rPr>
              <w:t>, wymaga to monitoringu sieci pod kątem różnych zagrożeń. Nie oznacza to obowiązku logowania wszystkiego czy pełnej retencji.</w:t>
            </w:r>
          </w:p>
          <w:p w:rsidR="00AC44BF" w:rsidRPr="007B4292" w:rsidRDefault="00AC44BF" w:rsidP="007B4292">
            <w:pPr>
              <w:pStyle w:val="Nagwek"/>
              <w:spacing w:before="0" w:after="0" w:line="240" w:lineRule="auto"/>
              <w:contextualSpacing/>
              <w:jc w:val="both"/>
              <w:rPr>
                <w:rFonts w:cstheme="minorHAnsi"/>
                <w:sz w:val="22"/>
                <w:szCs w:val="22"/>
              </w:rPr>
            </w:pPr>
          </w:p>
          <w:p w:rsidR="00AC44BF" w:rsidRPr="007B4292" w:rsidRDefault="00AC44BF" w:rsidP="007B4292">
            <w:pPr>
              <w:pStyle w:val="Nagwek"/>
              <w:spacing w:before="0" w:after="0" w:line="240" w:lineRule="auto"/>
              <w:contextualSpacing/>
              <w:jc w:val="both"/>
              <w:rPr>
                <w:rFonts w:cstheme="minorHAnsi"/>
                <w:sz w:val="22"/>
                <w:szCs w:val="22"/>
              </w:rPr>
            </w:pPr>
            <w:r w:rsidRPr="007B4292">
              <w:rPr>
                <w:rFonts w:cstheme="minorHAnsi"/>
                <w:sz w:val="22"/>
                <w:szCs w:val="22"/>
              </w:rPr>
              <w:t>Na konferencji:</w:t>
            </w:r>
          </w:p>
          <w:p w:rsidR="00AC44BF" w:rsidRPr="007B4292" w:rsidRDefault="00AC44BF" w:rsidP="007B4292">
            <w:pPr>
              <w:pStyle w:val="Nagwek"/>
              <w:spacing w:before="0" w:after="0" w:line="240" w:lineRule="auto"/>
              <w:contextualSpacing/>
              <w:jc w:val="both"/>
              <w:rPr>
                <w:rFonts w:cstheme="minorHAnsi"/>
                <w:sz w:val="22"/>
                <w:szCs w:val="22"/>
              </w:rPr>
            </w:pPr>
            <w:r w:rsidRPr="007B4292">
              <w:rPr>
                <w:rFonts w:cstheme="minorHAnsi"/>
                <w:sz w:val="22"/>
                <w:szCs w:val="22"/>
              </w:rPr>
              <w:t>Przedstawiono wyjaśnienie MC.</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13</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Izba wskazuje, że </w:t>
            </w:r>
            <w:r w:rsidRPr="007B4292">
              <w:rPr>
                <w:rFonts w:cstheme="minorHAnsi"/>
                <w:b/>
                <w:sz w:val="22"/>
                <w:szCs w:val="22"/>
              </w:rPr>
              <w:t>§ 2 pkt 13 projektu rozporządzenia powinien uwzględniać procedurę zgłoszeń naruszeń z art. 175a ust. 1b oraz ust. 2 Pt.</w:t>
            </w:r>
            <w:r w:rsidRPr="007B4292">
              <w:rPr>
                <w:rFonts w:cstheme="minorHAnsi"/>
                <w:sz w:val="22"/>
                <w:szCs w:val="22"/>
              </w:rPr>
              <w:t xml:space="preserve"> </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Uwaga uwzględniona.</w:t>
            </w:r>
          </w:p>
          <w:p w:rsidR="00B55492"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 13 zostanie zmieniony.</w:t>
            </w:r>
          </w:p>
          <w:p w:rsidR="00C6559F" w:rsidRPr="007B4292" w:rsidRDefault="00C6559F" w:rsidP="007B4292">
            <w:pPr>
              <w:pStyle w:val="Nagwek"/>
              <w:spacing w:before="0" w:after="0" w:line="240" w:lineRule="auto"/>
              <w:contextualSpacing/>
              <w:jc w:val="both"/>
              <w:rPr>
                <w:rFonts w:cstheme="minorHAnsi"/>
                <w:sz w:val="22"/>
                <w:szCs w:val="22"/>
              </w:rPr>
            </w:pPr>
          </w:p>
          <w:p w:rsidR="00C6559F" w:rsidRPr="007B4292" w:rsidRDefault="00C6559F"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Na konferencji: </w:t>
            </w:r>
          </w:p>
          <w:p w:rsidR="00C6559F" w:rsidRPr="007B4292" w:rsidRDefault="00C6559F" w:rsidP="007B4292">
            <w:pPr>
              <w:pStyle w:val="Nagwek"/>
              <w:spacing w:before="0" w:after="0" w:line="240" w:lineRule="auto"/>
              <w:contextualSpacing/>
              <w:jc w:val="both"/>
              <w:rPr>
                <w:rFonts w:cstheme="minorHAnsi"/>
                <w:sz w:val="22"/>
                <w:szCs w:val="22"/>
              </w:rPr>
            </w:pPr>
            <w:r w:rsidRPr="007B4292">
              <w:rPr>
                <w:rFonts w:cstheme="minorHAnsi"/>
                <w:sz w:val="22"/>
                <w:szCs w:val="22"/>
              </w:rPr>
              <w:t xml:space="preserve">Przepis będzie się odnosił do „wewnętrznych procedur”. </w:t>
            </w:r>
          </w:p>
        </w:tc>
      </w:tr>
      <w:tr w:rsidR="00A31E36" w:rsidRPr="007B4292" w:rsidTr="007B4292">
        <w:tc>
          <w:tcPr>
            <w:tcW w:w="10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pStyle w:val="Akapitzlist"/>
              <w:numPr>
                <w:ilvl w:val="0"/>
                <w:numId w:val="17"/>
              </w:numPr>
              <w:tabs>
                <w:tab w:val="left" w:pos="416"/>
              </w:tabs>
              <w:snapToGrid w:val="0"/>
              <w:spacing w:before="0" w:after="0" w:line="240" w:lineRule="auto"/>
              <w:rPr>
                <w:rFonts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napToGrid w:val="0"/>
              <w:spacing w:before="0" w:after="0" w:line="240" w:lineRule="auto"/>
              <w:contextualSpacing/>
              <w:rPr>
                <w:rFonts w:cstheme="minorHAnsi"/>
                <w:sz w:val="22"/>
                <w:szCs w:val="22"/>
              </w:rPr>
            </w:pPr>
            <w:r w:rsidRPr="007B4292">
              <w:rPr>
                <w:rFonts w:cstheme="minorHAnsi"/>
                <w:sz w:val="22"/>
                <w:szCs w:val="22"/>
              </w:rPr>
              <w:t>§ 2 pkt 14</w:t>
            </w:r>
          </w:p>
        </w:tc>
        <w:tc>
          <w:tcPr>
            <w:tcW w:w="1417"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jc w:val="both"/>
              <w:rPr>
                <w:rFonts w:cstheme="minorHAnsi"/>
                <w:sz w:val="22"/>
                <w:szCs w:val="22"/>
              </w:rPr>
            </w:pPr>
            <w:r w:rsidRPr="007B4292">
              <w:rPr>
                <w:rFonts w:cstheme="minorHAnsi"/>
                <w:sz w:val="22"/>
                <w:szCs w:val="22"/>
              </w:rPr>
              <w:t>PIKE</w:t>
            </w:r>
          </w:p>
        </w:tc>
        <w:tc>
          <w:tcPr>
            <w:tcW w:w="6521" w:type="dxa"/>
            <w:tcBorders>
              <w:top w:val="single" w:sz="4" w:space="0" w:color="auto"/>
              <w:left w:val="single" w:sz="4" w:space="0" w:color="auto"/>
              <w:bottom w:val="single" w:sz="4" w:space="0" w:color="auto"/>
              <w:right w:val="single" w:sz="4" w:space="0" w:color="auto"/>
            </w:tcBorders>
          </w:tcPr>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Zdaniem Izby obowiązek z § 2 pkt 14 projektu</w:t>
            </w:r>
            <w:r w:rsidRPr="007B4292">
              <w:rPr>
                <w:rFonts w:cstheme="minorHAnsi"/>
                <w:b/>
                <w:sz w:val="22"/>
                <w:szCs w:val="22"/>
              </w:rPr>
              <w:t xml:space="preserve"> </w:t>
            </w:r>
            <w:r w:rsidRPr="007B4292">
              <w:rPr>
                <w:rFonts w:cstheme="minorHAnsi"/>
                <w:sz w:val="22"/>
                <w:szCs w:val="22"/>
              </w:rPr>
              <w:t xml:space="preserve">rozporządzenia stanowi najtrudniejszy do realizacji obowiązek, zwłaszcza z uwagi na brak jego dookreślenia i liczne przesłanki jego wykonania. W opinii Izby taka </w:t>
            </w:r>
            <w:r w:rsidRPr="007B4292">
              <w:rPr>
                <w:rFonts w:cstheme="minorHAnsi"/>
                <w:b/>
                <w:sz w:val="22"/>
                <w:szCs w:val="22"/>
              </w:rPr>
              <w:t>ocena bezpieczeństwa sieci powinna być dokonywana nie częściej niż raz do roku</w:t>
            </w:r>
            <w:r w:rsidRPr="007B4292">
              <w:rPr>
                <w:rFonts w:cstheme="minorHAnsi"/>
                <w:sz w:val="22"/>
                <w:szCs w:val="22"/>
              </w:rPr>
              <w:t xml:space="preserve">. Dodatkowo, zamiast przeprowadzać ją automatycznie </w:t>
            </w:r>
            <w:r w:rsidR="00A31FCB" w:rsidRPr="007B4292">
              <w:rPr>
                <w:rFonts w:cstheme="minorHAnsi"/>
                <w:sz w:val="22"/>
                <w:szCs w:val="22"/>
              </w:rPr>
              <w:br/>
            </w:r>
            <w:r w:rsidRPr="007B4292">
              <w:rPr>
                <w:rFonts w:cstheme="minorHAnsi"/>
                <w:sz w:val="22"/>
                <w:szCs w:val="22"/>
              </w:rPr>
              <w:t xml:space="preserve">po określonym czasie, </w:t>
            </w:r>
            <w:r w:rsidRPr="007B4292">
              <w:rPr>
                <w:rFonts w:cstheme="minorHAnsi"/>
                <w:b/>
                <w:sz w:val="22"/>
                <w:szCs w:val="22"/>
              </w:rPr>
              <w:t>powinna ona następować po wystąpieniu poważnych naruszeń mających istotny wpływ na funkcjonowanie sieci i usług</w:t>
            </w:r>
            <w:r w:rsidRPr="007B4292">
              <w:rPr>
                <w:rFonts w:cstheme="minorHAnsi"/>
                <w:sz w:val="22"/>
                <w:szCs w:val="22"/>
              </w:rPr>
              <w:t xml:space="preserve">. </w:t>
            </w:r>
          </w:p>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 xml:space="preserve">Istotnym problemem jest konieczność wykonania takiej oceny po każdy naruszeniu integralności sieci o istotnym wpływie na sieć lub usługi. </w:t>
            </w:r>
            <w:r w:rsidR="00A31FCB" w:rsidRPr="007B4292">
              <w:rPr>
                <w:rFonts w:cstheme="minorHAnsi"/>
                <w:sz w:val="22"/>
                <w:szCs w:val="22"/>
              </w:rPr>
              <w:br/>
            </w:r>
            <w:r w:rsidRPr="007B4292">
              <w:rPr>
                <w:rFonts w:cstheme="minorHAnsi"/>
                <w:b/>
                <w:sz w:val="22"/>
                <w:szCs w:val="22"/>
              </w:rPr>
              <w:t>W przypadku samych prób hackerskich traktowanych jako naruszenie bezpieczeństwa, zdaniem Izby nie jest konieczna obligatoryjna ocena bezpieczeństwa sieci.</w:t>
            </w:r>
            <w:r w:rsidR="00A31FCB" w:rsidRPr="007B4292">
              <w:rPr>
                <w:rFonts w:cstheme="minorHAnsi"/>
                <w:sz w:val="22"/>
                <w:szCs w:val="22"/>
              </w:rPr>
              <w:t xml:space="preserve"> Może to oznaczać </w:t>
            </w:r>
            <w:r w:rsidRPr="007B4292">
              <w:rPr>
                <w:rFonts w:cstheme="minorHAnsi"/>
                <w:sz w:val="22"/>
                <w:szCs w:val="22"/>
              </w:rPr>
              <w:t>w przypadku częstych ataków hackerskich konieczność oceniania bezpieczeństwa sieci co miesiąc. Ponadto, Izba uważa, że brak jest potrzeby przeprowadzania takiej oceny w sytuacji, gdy powzięto środki przeciwdziałające takim naruszeniom.</w:t>
            </w:r>
          </w:p>
          <w:p w:rsidR="00A31E36" w:rsidRPr="007B4292" w:rsidRDefault="00A31E36" w:rsidP="007B4292">
            <w:pPr>
              <w:spacing w:before="0" w:after="0" w:line="240" w:lineRule="auto"/>
              <w:contextualSpacing/>
              <w:jc w:val="both"/>
              <w:rPr>
                <w:rFonts w:cstheme="minorHAnsi"/>
                <w:sz w:val="22"/>
                <w:szCs w:val="22"/>
              </w:rPr>
            </w:pPr>
            <w:r w:rsidRPr="007B4292">
              <w:rPr>
                <w:rFonts w:cstheme="minorHAnsi"/>
                <w:sz w:val="22"/>
                <w:szCs w:val="22"/>
              </w:rPr>
              <w:t>Jeszcze mniej jasna jest przesłanka dokonywania oceny w przypadku stwierdzenia podatności sieci na zagrożenie zwiększające poziom</w:t>
            </w:r>
            <w:r w:rsidR="00A31FCB" w:rsidRPr="007B4292">
              <w:rPr>
                <w:rFonts w:cstheme="minorHAnsi"/>
                <w:sz w:val="22"/>
                <w:szCs w:val="22"/>
              </w:rPr>
              <w:t xml:space="preserve"> ryzyka wystąpienia naruszenia </w:t>
            </w:r>
            <w:r w:rsidRPr="007B4292">
              <w:rPr>
                <w:rFonts w:cstheme="minorHAnsi"/>
                <w:sz w:val="22"/>
                <w:szCs w:val="22"/>
              </w:rPr>
              <w:t xml:space="preserve">o istotnym wpływie na sieć. Tak obowiązek można rozumieć jako konieczność permanentnego oceniania bezpieczeństwa swojej sieci, a przy okazji nieprzerwanego monitorowania możliwych zagrożeń. Operatorzy będą musieli ponosić duże wydatki związane z tą ciągłą oceną, co jest działaniem nie tylko nieproporcjonalnym, ale przede wszystkim niecelowym. W opinii Izby, </w:t>
            </w:r>
            <w:r w:rsidRPr="007B4292">
              <w:rPr>
                <w:rFonts w:cstheme="minorHAnsi"/>
                <w:b/>
                <w:sz w:val="22"/>
                <w:szCs w:val="22"/>
              </w:rPr>
              <w:t>taka aktualizacja oceny nie może być oceniana jako minimalny środek mający na celu zapewnienie bezpieczeństwa</w:t>
            </w:r>
            <w:r w:rsidRPr="007B4292">
              <w:rPr>
                <w:rFonts w:cstheme="minorHAnsi"/>
                <w:sz w:val="22"/>
                <w:szCs w:val="22"/>
              </w:rPr>
              <w:t>.</w:t>
            </w:r>
          </w:p>
        </w:tc>
        <w:tc>
          <w:tcPr>
            <w:tcW w:w="4816" w:type="dxa"/>
            <w:tcBorders>
              <w:top w:val="single" w:sz="4" w:space="0" w:color="auto"/>
              <w:left w:val="single" w:sz="4" w:space="0" w:color="auto"/>
              <w:bottom w:val="single" w:sz="4" w:space="0" w:color="auto"/>
              <w:right w:val="single" w:sz="4" w:space="0" w:color="auto"/>
            </w:tcBorders>
          </w:tcPr>
          <w:p w:rsidR="00A31E36"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Wyjaśnienie.</w:t>
            </w:r>
          </w:p>
          <w:p w:rsidR="00B55492"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Zgodnie z projektem, ocena bezpieczeństwa musi nastąpić:</w:t>
            </w:r>
          </w:p>
          <w:p w:rsidR="00B55492" w:rsidRPr="007B4292" w:rsidRDefault="00B55492" w:rsidP="007B4292">
            <w:pPr>
              <w:pStyle w:val="Nagwek"/>
              <w:numPr>
                <w:ilvl w:val="0"/>
                <w:numId w:val="25"/>
              </w:numPr>
              <w:spacing w:before="0" w:after="0" w:line="240" w:lineRule="auto"/>
              <w:contextualSpacing/>
              <w:jc w:val="both"/>
              <w:rPr>
                <w:rFonts w:cstheme="minorHAnsi"/>
                <w:sz w:val="22"/>
                <w:szCs w:val="22"/>
              </w:rPr>
            </w:pPr>
            <w:r w:rsidRPr="007B4292">
              <w:rPr>
                <w:rFonts w:cstheme="minorHAnsi"/>
                <w:sz w:val="22"/>
                <w:szCs w:val="22"/>
              </w:rPr>
              <w:t>raz na rok lub</w:t>
            </w:r>
          </w:p>
          <w:p w:rsidR="00B55492" w:rsidRPr="007B4292" w:rsidRDefault="00B55492" w:rsidP="007B4292">
            <w:pPr>
              <w:pStyle w:val="Nagwek"/>
              <w:numPr>
                <w:ilvl w:val="0"/>
                <w:numId w:val="25"/>
              </w:numPr>
              <w:spacing w:before="0" w:after="0" w:line="240" w:lineRule="auto"/>
              <w:contextualSpacing/>
              <w:jc w:val="both"/>
              <w:rPr>
                <w:rFonts w:cstheme="minorHAnsi"/>
                <w:sz w:val="22"/>
                <w:szCs w:val="22"/>
              </w:rPr>
            </w:pPr>
            <w:r w:rsidRPr="007B4292">
              <w:rPr>
                <w:rFonts w:cstheme="minorHAnsi"/>
                <w:sz w:val="22"/>
                <w:szCs w:val="22"/>
              </w:rPr>
              <w:t>po każdym naruszeniu bezpieczeństwa lub integralności sieci lub</w:t>
            </w:r>
          </w:p>
          <w:p w:rsidR="00B55492" w:rsidRPr="007B4292" w:rsidRDefault="00B55492" w:rsidP="007B4292">
            <w:pPr>
              <w:pStyle w:val="Nagwek"/>
              <w:numPr>
                <w:ilvl w:val="0"/>
                <w:numId w:val="25"/>
              </w:numPr>
              <w:spacing w:before="0" w:after="0" w:line="240" w:lineRule="auto"/>
              <w:contextualSpacing/>
              <w:jc w:val="both"/>
              <w:rPr>
                <w:rFonts w:cstheme="minorHAnsi"/>
                <w:sz w:val="22"/>
                <w:szCs w:val="22"/>
              </w:rPr>
            </w:pPr>
            <w:r w:rsidRPr="007B4292">
              <w:rPr>
                <w:rFonts w:cstheme="minorHAnsi"/>
                <w:sz w:val="22"/>
                <w:szCs w:val="22"/>
              </w:rPr>
              <w:t>po każdym wykryciu podatności.</w:t>
            </w:r>
          </w:p>
          <w:p w:rsidR="00B55492"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Okresowe, coroczne sprawdzanie systemów wydaje się standardową, zalecaną praktyką.</w:t>
            </w:r>
          </w:p>
          <w:p w:rsidR="00B55492" w:rsidRPr="007B4292" w:rsidRDefault="00B55492" w:rsidP="007B4292">
            <w:pPr>
              <w:pStyle w:val="Nagwek"/>
              <w:spacing w:before="0" w:after="0" w:line="240" w:lineRule="auto"/>
              <w:contextualSpacing/>
              <w:jc w:val="both"/>
              <w:rPr>
                <w:rFonts w:cstheme="minorHAnsi"/>
                <w:sz w:val="22"/>
                <w:szCs w:val="22"/>
              </w:rPr>
            </w:pPr>
            <w:r w:rsidRPr="007B4292">
              <w:rPr>
                <w:rFonts w:cstheme="minorHAnsi"/>
                <w:sz w:val="22"/>
                <w:szCs w:val="22"/>
              </w:rPr>
              <w:t>Nie musi to koniecznie być pełen audyt; nie jest też sugerowane, aby była to ocena zlecana na zewnątrz – może to zostać dokonane własnymi środkami przedsiębiorcy.</w:t>
            </w:r>
          </w:p>
          <w:p w:rsidR="00AC44BF" w:rsidRPr="007B4292" w:rsidRDefault="00AC44BF" w:rsidP="007B4292">
            <w:pPr>
              <w:pStyle w:val="Nagwek"/>
              <w:spacing w:before="0" w:after="0" w:line="240" w:lineRule="auto"/>
              <w:contextualSpacing/>
              <w:jc w:val="both"/>
              <w:rPr>
                <w:rFonts w:cstheme="minorHAnsi"/>
                <w:sz w:val="22"/>
                <w:szCs w:val="22"/>
              </w:rPr>
            </w:pPr>
          </w:p>
          <w:p w:rsidR="00AC44BF" w:rsidRPr="007B4292" w:rsidRDefault="00AC44BF" w:rsidP="007B4292">
            <w:pPr>
              <w:pStyle w:val="Nagwek"/>
              <w:spacing w:before="0" w:after="0" w:line="240" w:lineRule="auto"/>
              <w:contextualSpacing/>
              <w:jc w:val="both"/>
              <w:rPr>
                <w:rFonts w:cstheme="minorHAnsi"/>
                <w:sz w:val="22"/>
                <w:szCs w:val="22"/>
              </w:rPr>
            </w:pPr>
            <w:r w:rsidRPr="007B4292">
              <w:rPr>
                <w:rFonts w:cstheme="minorHAnsi"/>
                <w:sz w:val="22"/>
                <w:szCs w:val="22"/>
              </w:rPr>
              <w:t>Po konferencji:</w:t>
            </w:r>
          </w:p>
          <w:p w:rsidR="00AC44BF" w:rsidRPr="007B4292" w:rsidRDefault="00AC44BF" w:rsidP="007B4292">
            <w:pPr>
              <w:pStyle w:val="Nagwek"/>
              <w:spacing w:before="0" w:after="0" w:line="240" w:lineRule="auto"/>
              <w:contextualSpacing/>
              <w:jc w:val="both"/>
              <w:rPr>
                <w:rFonts w:cstheme="minorHAnsi"/>
                <w:sz w:val="22"/>
                <w:szCs w:val="22"/>
              </w:rPr>
            </w:pPr>
            <w:r w:rsidRPr="007B4292">
              <w:rPr>
                <w:rFonts w:cstheme="minorHAnsi"/>
                <w:sz w:val="22"/>
                <w:szCs w:val="22"/>
              </w:rPr>
              <w:t>MC przygotowało nowe brzmienie przepisu.</w:t>
            </w:r>
          </w:p>
        </w:tc>
      </w:tr>
    </w:tbl>
    <w:p w:rsidR="00DA5447" w:rsidRPr="007B4292" w:rsidRDefault="00DA5447" w:rsidP="007B4292">
      <w:pPr>
        <w:spacing w:before="0" w:after="0" w:line="240" w:lineRule="auto"/>
        <w:contextualSpacing/>
        <w:rPr>
          <w:rFonts w:cstheme="minorHAnsi"/>
          <w:sz w:val="22"/>
          <w:szCs w:val="22"/>
        </w:rPr>
      </w:pPr>
    </w:p>
    <w:sectPr w:rsidR="00DA5447" w:rsidRPr="007B4292" w:rsidSect="00FB49D9">
      <w:footerReference w:type="even" r:id="rId8"/>
      <w:footerReference w:type="default" r:id="rId9"/>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5CE" w:rsidRDefault="00A435CE" w:rsidP="00CE5BE0">
      <w:r>
        <w:separator/>
      </w:r>
    </w:p>
  </w:endnote>
  <w:endnote w:type="continuationSeparator" w:id="0">
    <w:p w:rsidR="00A435CE" w:rsidRDefault="00A435CE" w:rsidP="00CE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E1" w:rsidRDefault="00961AE1"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61AE1" w:rsidRDefault="00961AE1" w:rsidP="00FB49D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E1" w:rsidRDefault="00961AE1"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F3AAF">
      <w:rPr>
        <w:rStyle w:val="Numerstrony"/>
        <w:noProof/>
      </w:rPr>
      <w:t>1</w:t>
    </w:r>
    <w:r>
      <w:rPr>
        <w:rStyle w:val="Numerstrony"/>
      </w:rPr>
      <w:fldChar w:fldCharType="end"/>
    </w:r>
  </w:p>
  <w:p w:rsidR="00961AE1" w:rsidRDefault="00961AE1" w:rsidP="00FB49D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5CE" w:rsidRDefault="00A435CE" w:rsidP="00CE5BE0">
      <w:r>
        <w:separator/>
      </w:r>
    </w:p>
  </w:footnote>
  <w:footnote w:type="continuationSeparator" w:id="0">
    <w:p w:rsidR="00A435CE" w:rsidRDefault="00A435CE" w:rsidP="00CE5B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A0A5B1D"/>
    <w:multiLevelType w:val="hybridMultilevel"/>
    <w:tmpl w:val="FC4203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BFC0200"/>
    <w:multiLevelType w:val="hybridMultilevel"/>
    <w:tmpl w:val="E6806220"/>
    <w:lvl w:ilvl="0" w:tplc="186AF9F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F0F7526"/>
    <w:multiLevelType w:val="hybridMultilevel"/>
    <w:tmpl w:val="28B038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1F4658"/>
    <w:multiLevelType w:val="hybridMultilevel"/>
    <w:tmpl w:val="1554A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707AFC"/>
    <w:multiLevelType w:val="hybridMultilevel"/>
    <w:tmpl w:val="60D8CB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0E40363"/>
    <w:multiLevelType w:val="hybridMultilevel"/>
    <w:tmpl w:val="8E9C7D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52B21A4"/>
    <w:multiLevelType w:val="hybridMultilevel"/>
    <w:tmpl w:val="D584E370"/>
    <w:lvl w:ilvl="0" w:tplc="BFFE226E">
      <w:start w:val="1"/>
      <w:numFmt w:val="lowerLetter"/>
      <w:lvlText w:val="%1)"/>
      <w:lvlJc w:val="left"/>
      <w:pPr>
        <w:ind w:left="720" w:hanging="360"/>
      </w:pPr>
      <w:rPr>
        <w:rFonts w:ascii="Arial" w:hAnsi="Arial" w:cs="Times New Roman"/>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nsid w:val="2BDC4820"/>
    <w:multiLevelType w:val="hybridMultilevel"/>
    <w:tmpl w:val="E6F27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DF8260F"/>
    <w:multiLevelType w:val="hybridMultilevel"/>
    <w:tmpl w:val="E79263D8"/>
    <w:lvl w:ilvl="0" w:tplc="0415000F">
      <w:start w:val="1"/>
      <w:numFmt w:val="decimal"/>
      <w:lvlText w:val="%1."/>
      <w:lvlJc w:val="left"/>
      <w:pPr>
        <w:ind w:left="1069"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1">
    <w:nsid w:val="41437271"/>
    <w:multiLevelType w:val="hybridMultilevel"/>
    <w:tmpl w:val="6012E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3263AEE"/>
    <w:multiLevelType w:val="hybridMultilevel"/>
    <w:tmpl w:val="9F50383C"/>
    <w:lvl w:ilvl="0" w:tplc="5776D658">
      <w:start w:val="16"/>
      <w:numFmt w:val="decimal"/>
      <w:lvlText w:val="%1)"/>
      <w:lvlJc w:val="left"/>
      <w:pPr>
        <w:tabs>
          <w:tab w:val="num" w:pos="555"/>
        </w:tabs>
        <w:ind w:left="555" w:hanging="435"/>
      </w:pPr>
      <w:rPr>
        <w:rFonts w:cs="Times New Roman" w:hint="default"/>
      </w:rPr>
    </w:lvl>
    <w:lvl w:ilvl="1" w:tplc="04150019" w:tentative="1">
      <w:start w:val="1"/>
      <w:numFmt w:val="lowerLetter"/>
      <w:lvlText w:val="%2."/>
      <w:lvlJc w:val="left"/>
      <w:pPr>
        <w:tabs>
          <w:tab w:val="num" w:pos="1200"/>
        </w:tabs>
        <w:ind w:left="1200" w:hanging="360"/>
      </w:pPr>
      <w:rPr>
        <w:rFonts w:cs="Times New Roman"/>
      </w:rPr>
    </w:lvl>
    <w:lvl w:ilvl="2" w:tplc="0415001B" w:tentative="1">
      <w:start w:val="1"/>
      <w:numFmt w:val="lowerRoman"/>
      <w:lvlText w:val="%3."/>
      <w:lvlJc w:val="right"/>
      <w:pPr>
        <w:tabs>
          <w:tab w:val="num" w:pos="1920"/>
        </w:tabs>
        <w:ind w:left="1920" w:hanging="180"/>
      </w:pPr>
      <w:rPr>
        <w:rFonts w:cs="Times New Roman"/>
      </w:rPr>
    </w:lvl>
    <w:lvl w:ilvl="3" w:tplc="0415000F" w:tentative="1">
      <w:start w:val="1"/>
      <w:numFmt w:val="decimal"/>
      <w:lvlText w:val="%4."/>
      <w:lvlJc w:val="left"/>
      <w:pPr>
        <w:tabs>
          <w:tab w:val="num" w:pos="2640"/>
        </w:tabs>
        <w:ind w:left="2640" w:hanging="360"/>
      </w:pPr>
      <w:rPr>
        <w:rFonts w:cs="Times New Roman"/>
      </w:rPr>
    </w:lvl>
    <w:lvl w:ilvl="4" w:tplc="04150019" w:tentative="1">
      <w:start w:val="1"/>
      <w:numFmt w:val="lowerLetter"/>
      <w:lvlText w:val="%5."/>
      <w:lvlJc w:val="left"/>
      <w:pPr>
        <w:tabs>
          <w:tab w:val="num" w:pos="3360"/>
        </w:tabs>
        <w:ind w:left="3360" w:hanging="360"/>
      </w:pPr>
      <w:rPr>
        <w:rFonts w:cs="Times New Roman"/>
      </w:rPr>
    </w:lvl>
    <w:lvl w:ilvl="5" w:tplc="0415001B" w:tentative="1">
      <w:start w:val="1"/>
      <w:numFmt w:val="lowerRoman"/>
      <w:lvlText w:val="%6."/>
      <w:lvlJc w:val="right"/>
      <w:pPr>
        <w:tabs>
          <w:tab w:val="num" w:pos="4080"/>
        </w:tabs>
        <w:ind w:left="4080" w:hanging="180"/>
      </w:pPr>
      <w:rPr>
        <w:rFonts w:cs="Times New Roman"/>
      </w:rPr>
    </w:lvl>
    <w:lvl w:ilvl="6" w:tplc="0415000F" w:tentative="1">
      <w:start w:val="1"/>
      <w:numFmt w:val="decimal"/>
      <w:lvlText w:val="%7."/>
      <w:lvlJc w:val="left"/>
      <w:pPr>
        <w:tabs>
          <w:tab w:val="num" w:pos="4800"/>
        </w:tabs>
        <w:ind w:left="4800" w:hanging="360"/>
      </w:pPr>
      <w:rPr>
        <w:rFonts w:cs="Times New Roman"/>
      </w:rPr>
    </w:lvl>
    <w:lvl w:ilvl="7" w:tplc="04150019" w:tentative="1">
      <w:start w:val="1"/>
      <w:numFmt w:val="lowerLetter"/>
      <w:lvlText w:val="%8."/>
      <w:lvlJc w:val="left"/>
      <w:pPr>
        <w:tabs>
          <w:tab w:val="num" w:pos="5520"/>
        </w:tabs>
        <w:ind w:left="5520" w:hanging="360"/>
      </w:pPr>
      <w:rPr>
        <w:rFonts w:cs="Times New Roman"/>
      </w:rPr>
    </w:lvl>
    <w:lvl w:ilvl="8" w:tplc="0415001B" w:tentative="1">
      <w:start w:val="1"/>
      <w:numFmt w:val="lowerRoman"/>
      <w:lvlText w:val="%9."/>
      <w:lvlJc w:val="right"/>
      <w:pPr>
        <w:tabs>
          <w:tab w:val="num" w:pos="6240"/>
        </w:tabs>
        <w:ind w:left="6240" w:hanging="180"/>
      </w:pPr>
      <w:rPr>
        <w:rFonts w:cs="Times New Roman"/>
      </w:rPr>
    </w:lvl>
  </w:abstractNum>
  <w:abstractNum w:abstractNumId="13">
    <w:nsid w:val="46A3290F"/>
    <w:multiLevelType w:val="hybridMultilevel"/>
    <w:tmpl w:val="BCEADE2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4F08190B"/>
    <w:multiLevelType w:val="hybridMultilevel"/>
    <w:tmpl w:val="EB26C6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08969D6"/>
    <w:multiLevelType w:val="hybridMultilevel"/>
    <w:tmpl w:val="0888C66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6612080E"/>
    <w:multiLevelType w:val="hybridMultilevel"/>
    <w:tmpl w:val="6DB065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695776CB"/>
    <w:multiLevelType w:val="hybridMultilevel"/>
    <w:tmpl w:val="62FCEAC6"/>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6D2916ED"/>
    <w:multiLevelType w:val="hybridMultilevel"/>
    <w:tmpl w:val="D59202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4261F75"/>
    <w:multiLevelType w:val="hybridMultilevel"/>
    <w:tmpl w:val="B7C0E48C"/>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756F7AC8"/>
    <w:multiLevelType w:val="hybridMultilevel"/>
    <w:tmpl w:val="B6DEEA3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77570E20"/>
    <w:multiLevelType w:val="hybridMultilevel"/>
    <w:tmpl w:val="15DAC2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B997BFC"/>
    <w:multiLevelType w:val="hybridMultilevel"/>
    <w:tmpl w:val="81EEE4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ED349BE"/>
    <w:multiLevelType w:val="hybridMultilevel"/>
    <w:tmpl w:val="6174120E"/>
    <w:lvl w:ilvl="0" w:tplc="04150017">
      <w:start w:val="1"/>
      <w:numFmt w:val="lowerLetter"/>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7FB2206E"/>
    <w:multiLevelType w:val="hybridMultilevel"/>
    <w:tmpl w:val="9F7288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20"/>
  </w:num>
  <w:num w:numId="4">
    <w:abstractNumId w:val="23"/>
  </w:num>
  <w:num w:numId="5">
    <w:abstractNumId w:val="17"/>
  </w:num>
  <w:num w:numId="6">
    <w:abstractNumId w:val="16"/>
  </w:num>
  <w:num w:numId="7">
    <w:abstractNumId w:val="14"/>
  </w:num>
  <w:num w:numId="8">
    <w:abstractNumId w:val="1"/>
  </w:num>
  <w:num w:numId="9">
    <w:abstractNumId w:val="12"/>
  </w:num>
  <w:num w:numId="10">
    <w:abstractNumId w:val="13"/>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8"/>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5"/>
  </w:num>
  <w:num w:numId="22">
    <w:abstractNumId w:val="24"/>
  </w:num>
  <w:num w:numId="23">
    <w:abstractNumId w:val="11"/>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13E"/>
    <w:rsid w:val="0000013C"/>
    <w:rsid w:val="00003298"/>
    <w:rsid w:val="0000412F"/>
    <w:rsid w:val="0001404E"/>
    <w:rsid w:val="000310C2"/>
    <w:rsid w:val="000324FE"/>
    <w:rsid w:val="00032887"/>
    <w:rsid w:val="0004645F"/>
    <w:rsid w:val="00047B80"/>
    <w:rsid w:val="000533EE"/>
    <w:rsid w:val="00054F80"/>
    <w:rsid w:val="000570ED"/>
    <w:rsid w:val="00061798"/>
    <w:rsid w:val="0007045A"/>
    <w:rsid w:val="00070D2B"/>
    <w:rsid w:val="00072E3F"/>
    <w:rsid w:val="000835E5"/>
    <w:rsid w:val="0008482E"/>
    <w:rsid w:val="00087D28"/>
    <w:rsid w:val="00095D3F"/>
    <w:rsid w:val="00095F86"/>
    <w:rsid w:val="000970A7"/>
    <w:rsid w:val="000A5CE8"/>
    <w:rsid w:val="000A66AE"/>
    <w:rsid w:val="000A67C2"/>
    <w:rsid w:val="000A6ED9"/>
    <w:rsid w:val="000B0BF9"/>
    <w:rsid w:val="000B2744"/>
    <w:rsid w:val="000B3A68"/>
    <w:rsid w:val="000C2B0B"/>
    <w:rsid w:val="000C72A8"/>
    <w:rsid w:val="000F0095"/>
    <w:rsid w:val="000F39C2"/>
    <w:rsid w:val="000F6FF4"/>
    <w:rsid w:val="001001D1"/>
    <w:rsid w:val="00100DB4"/>
    <w:rsid w:val="001020C2"/>
    <w:rsid w:val="0010245A"/>
    <w:rsid w:val="00107EB4"/>
    <w:rsid w:val="001113A3"/>
    <w:rsid w:val="00111D8C"/>
    <w:rsid w:val="00117DA5"/>
    <w:rsid w:val="00124927"/>
    <w:rsid w:val="0012576D"/>
    <w:rsid w:val="00126449"/>
    <w:rsid w:val="001264CC"/>
    <w:rsid w:val="001313C0"/>
    <w:rsid w:val="00131BB1"/>
    <w:rsid w:val="00133E72"/>
    <w:rsid w:val="00135AE4"/>
    <w:rsid w:val="0013641C"/>
    <w:rsid w:val="00140120"/>
    <w:rsid w:val="00141828"/>
    <w:rsid w:val="001456EE"/>
    <w:rsid w:val="001573ED"/>
    <w:rsid w:val="001601DE"/>
    <w:rsid w:val="0017030D"/>
    <w:rsid w:val="00183746"/>
    <w:rsid w:val="00196F37"/>
    <w:rsid w:val="001A0BB9"/>
    <w:rsid w:val="001B7EC7"/>
    <w:rsid w:val="001C5803"/>
    <w:rsid w:val="001D35D9"/>
    <w:rsid w:val="001E15C7"/>
    <w:rsid w:val="001E50BC"/>
    <w:rsid w:val="001F589F"/>
    <w:rsid w:val="001F634D"/>
    <w:rsid w:val="001F7DD8"/>
    <w:rsid w:val="00200783"/>
    <w:rsid w:val="0020406A"/>
    <w:rsid w:val="0021313F"/>
    <w:rsid w:val="00214DC1"/>
    <w:rsid w:val="00215694"/>
    <w:rsid w:val="002228AE"/>
    <w:rsid w:val="00224AD6"/>
    <w:rsid w:val="00226789"/>
    <w:rsid w:val="002272A4"/>
    <w:rsid w:val="00234307"/>
    <w:rsid w:val="00253858"/>
    <w:rsid w:val="002637E1"/>
    <w:rsid w:val="00263AF7"/>
    <w:rsid w:val="00265692"/>
    <w:rsid w:val="00265E3A"/>
    <w:rsid w:val="0026724D"/>
    <w:rsid w:val="00271417"/>
    <w:rsid w:val="002850A3"/>
    <w:rsid w:val="00286BB2"/>
    <w:rsid w:val="002920DD"/>
    <w:rsid w:val="00296B19"/>
    <w:rsid w:val="002A02D4"/>
    <w:rsid w:val="002A250E"/>
    <w:rsid w:val="002A5154"/>
    <w:rsid w:val="002B1ED3"/>
    <w:rsid w:val="002B28A9"/>
    <w:rsid w:val="002B2EE6"/>
    <w:rsid w:val="002B6822"/>
    <w:rsid w:val="002C7128"/>
    <w:rsid w:val="002C7978"/>
    <w:rsid w:val="002C7DC1"/>
    <w:rsid w:val="002D13C4"/>
    <w:rsid w:val="002D5D3C"/>
    <w:rsid w:val="002E3246"/>
    <w:rsid w:val="002E490F"/>
    <w:rsid w:val="002F2752"/>
    <w:rsid w:val="002F2825"/>
    <w:rsid w:val="002F3ADF"/>
    <w:rsid w:val="002F5BBB"/>
    <w:rsid w:val="003001C5"/>
    <w:rsid w:val="00300DF6"/>
    <w:rsid w:val="00312D97"/>
    <w:rsid w:val="003152F7"/>
    <w:rsid w:val="003165E8"/>
    <w:rsid w:val="003171E7"/>
    <w:rsid w:val="0032018B"/>
    <w:rsid w:val="003236D3"/>
    <w:rsid w:val="003241EF"/>
    <w:rsid w:val="00325025"/>
    <w:rsid w:val="00327C6E"/>
    <w:rsid w:val="00335903"/>
    <w:rsid w:val="00340C73"/>
    <w:rsid w:val="0034497E"/>
    <w:rsid w:val="00353049"/>
    <w:rsid w:val="0035548E"/>
    <w:rsid w:val="00364925"/>
    <w:rsid w:val="003654F3"/>
    <w:rsid w:val="003744C0"/>
    <w:rsid w:val="00374A0C"/>
    <w:rsid w:val="003837BD"/>
    <w:rsid w:val="00383843"/>
    <w:rsid w:val="00394D6F"/>
    <w:rsid w:val="003A14CD"/>
    <w:rsid w:val="003A378F"/>
    <w:rsid w:val="003A3C11"/>
    <w:rsid w:val="003B0992"/>
    <w:rsid w:val="003B458E"/>
    <w:rsid w:val="003B6D6E"/>
    <w:rsid w:val="003C0CF7"/>
    <w:rsid w:val="003C570E"/>
    <w:rsid w:val="003D4411"/>
    <w:rsid w:val="003D55FF"/>
    <w:rsid w:val="003D741D"/>
    <w:rsid w:val="003D7A3B"/>
    <w:rsid w:val="003E29F0"/>
    <w:rsid w:val="003E49CE"/>
    <w:rsid w:val="003E7F83"/>
    <w:rsid w:val="003F03EC"/>
    <w:rsid w:val="003F2A14"/>
    <w:rsid w:val="003F5D6F"/>
    <w:rsid w:val="003F6C6B"/>
    <w:rsid w:val="003F7700"/>
    <w:rsid w:val="00402438"/>
    <w:rsid w:val="00410611"/>
    <w:rsid w:val="00410881"/>
    <w:rsid w:val="00423076"/>
    <w:rsid w:val="00431154"/>
    <w:rsid w:val="00437F97"/>
    <w:rsid w:val="004400DB"/>
    <w:rsid w:val="00440225"/>
    <w:rsid w:val="00445ED3"/>
    <w:rsid w:val="00446F81"/>
    <w:rsid w:val="00454715"/>
    <w:rsid w:val="004608BB"/>
    <w:rsid w:val="00461A1E"/>
    <w:rsid w:val="00462DED"/>
    <w:rsid w:val="0046617D"/>
    <w:rsid w:val="004662C1"/>
    <w:rsid w:val="00471DC2"/>
    <w:rsid w:val="004775C7"/>
    <w:rsid w:val="00481417"/>
    <w:rsid w:val="00482B53"/>
    <w:rsid w:val="00484D26"/>
    <w:rsid w:val="00484DCD"/>
    <w:rsid w:val="004874A3"/>
    <w:rsid w:val="00487509"/>
    <w:rsid w:val="0048786F"/>
    <w:rsid w:val="004A18ED"/>
    <w:rsid w:val="004A2B69"/>
    <w:rsid w:val="004A35DB"/>
    <w:rsid w:val="004C0E92"/>
    <w:rsid w:val="004C1D92"/>
    <w:rsid w:val="004C2E28"/>
    <w:rsid w:val="004D70FE"/>
    <w:rsid w:val="004E0073"/>
    <w:rsid w:val="004E113D"/>
    <w:rsid w:val="004E2051"/>
    <w:rsid w:val="004E6484"/>
    <w:rsid w:val="004E7119"/>
    <w:rsid w:val="004E7184"/>
    <w:rsid w:val="004F1C85"/>
    <w:rsid w:val="004F5164"/>
    <w:rsid w:val="004F560E"/>
    <w:rsid w:val="004F6E69"/>
    <w:rsid w:val="005001D9"/>
    <w:rsid w:val="00501294"/>
    <w:rsid w:val="00505184"/>
    <w:rsid w:val="00506F52"/>
    <w:rsid w:val="0050716C"/>
    <w:rsid w:val="00510E5D"/>
    <w:rsid w:val="005118B5"/>
    <w:rsid w:val="00511976"/>
    <w:rsid w:val="0051365F"/>
    <w:rsid w:val="00517F2E"/>
    <w:rsid w:val="005323D2"/>
    <w:rsid w:val="00533300"/>
    <w:rsid w:val="00533592"/>
    <w:rsid w:val="00540777"/>
    <w:rsid w:val="00541505"/>
    <w:rsid w:val="00542143"/>
    <w:rsid w:val="00542FFD"/>
    <w:rsid w:val="00546CCD"/>
    <w:rsid w:val="00553A21"/>
    <w:rsid w:val="005544B6"/>
    <w:rsid w:val="0055472E"/>
    <w:rsid w:val="00554DBA"/>
    <w:rsid w:val="005552DB"/>
    <w:rsid w:val="00556A53"/>
    <w:rsid w:val="00566A7F"/>
    <w:rsid w:val="00575865"/>
    <w:rsid w:val="005766F3"/>
    <w:rsid w:val="00581DDC"/>
    <w:rsid w:val="0058318A"/>
    <w:rsid w:val="00584B94"/>
    <w:rsid w:val="00587325"/>
    <w:rsid w:val="00591CA1"/>
    <w:rsid w:val="00592229"/>
    <w:rsid w:val="00592F24"/>
    <w:rsid w:val="00595305"/>
    <w:rsid w:val="005B0030"/>
    <w:rsid w:val="005B0A8C"/>
    <w:rsid w:val="005B52D9"/>
    <w:rsid w:val="005D2FD2"/>
    <w:rsid w:val="005D6541"/>
    <w:rsid w:val="005E00FD"/>
    <w:rsid w:val="005E2DF2"/>
    <w:rsid w:val="005F0CF7"/>
    <w:rsid w:val="005F13E4"/>
    <w:rsid w:val="005F153F"/>
    <w:rsid w:val="005F19EF"/>
    <w:rsid w:val="005F1E81"/>
    <w:rsid w:val="005F2779"/>
    <w:rsid w:val="00601089"/>
    <w:rsid w:val="00601412"/>
    <w:rsid w:val="00603EDE"/>
    <w:rsid w:val="00605305"/>
    <w:rsid w:val="0061114D"/>
    <w:rsid w:val="0061142C"/>
    <w:rsid w:val="006131B8"/>
    <w:rsid w:val="0061333F"/>
    <w:rsid w:val="00616894"/>
    <w:rsid w:val="006326E2"/>
    <w:rsid w:val="00633B3F"/>
    <w:rsid w:val="00634A9D"/>
    <w:rsid w:val="00642597"/>
    <w:rsid w:val="00645E1B"/>
    <w:rsid w:val="00646B83"/>
    <w:rsid w:val="00660EF0"/>
    <w:rsid w:val="00663CFA"/>
    <w:rsid w:val="006663CC"/>
    <w:rsid w:val="0068199B"/>
    <w:rsid w:val="00691644"/>
    <w:rsid w:val="006A08E2"/>
    <w:rsid w:val="006A0CEC"/>
    <w:rsid w:val="006A247C"/>
    <w:rsid w:val="006A2661"/>
    <w:rsid w:val="006A2CFD"/>
    <w:rsid w:val="006A3994"/>
    <w:rsid w:val="006B2BDE"/>
    <w:rsid w:val="006B502C"/>
    <w:rsid w:val="006B6A46"/>
    <w:rsid w:val="006C23C4"/>
    <w:rsid w:val="006C448E"/>
    <w:rsid w:val="006D261E"/>
    <w:rsid w:val="006D6135"/>
    <w:rsid w:val="006D63FE"/>
    <w:rsid w:val="006E16DC"/>
    <w:rsid w:val="006F20DE"/>
    <w:rsid w:val="006F258F"/>
    <w:rsid w:val="006F6913"/>
    <w:rsid w:val="00701B39"/>
    <w:rsid w:val="00704B66"/>
    <w:rsid w:val="007050EF"/>
    <w:rsid w:val="00707BD0"/>
    <w:rsid w:val="0071357B"/>
    <w:rsid w:val="007142FF"/>
    <w:rsid w:val="00725C35"/>
    <w:rsid w:val="00730A9D"/>
    <w:rsid w:val="0073752C"/>
    <w:rsid w:val="00743431"/>
    <w:rsid w:val="00743B3E"/>
    <w:rsid w:val="00743D1C"/>
    <w:rsid w:val="00752D27"/>
    <w:rsid w:val="00752EE0"/>
    <w:rsid w:val="00763E6B"/>
    <w:rsid w:val="0076565E"/>
    <w:rsid w:val="00766438"/>
    <w:rsid w:val="00766FF2"/>
    <w:rsid w:val="0077286C"/>
    <w:rsid w:val="00780488"/>
    <w:rsid w:val="00786F17"/>
    <w:rsid w:val="0079311D"/>
    <w:rsid w:val="007948F3"/>
    <w:rsid w:val="007A1A5F"/>
    <w:rsid w:val="007A6B55"/>
    <w:rsid w:val="007B142B"/>
    <w:rsid w:val="007B4292"/>
    <w:rsid w:val="007B74BD"/>
    <w:rsid w:val="007C1425"/>
    <w:rsid w:val="007C1BB6"/>
    <w:rsid w:val="007C22DE"/>
    <w:rsid w:val="007C2501"/>
    <w:rsid w:val="007C4B7A"/>
    <w:rsid w:val="007C65C6"/>
    <w:rsid w:val="007D1039"/>
    <w:rsid w:val="007D2E1B"/>
    <w:rsid w:val="007E1371"/>
    <w:rsid w:val="007E32D0"/>
    <w:rsid w:val="007E55E7"/>
    <w:rsid w:val="007E75D1"/>
    <w:rsid w:val="007E7B98"/>
    <w:rsid w:val="007E7C25"/>
    <w:rsid w:val="007F09EA"/>
    <w:rsid w:val="007F19E8"/>
    <w:rsid w:val="00805ED3"/>
    <w:rsid w:val="00810F46"/>
    <w:rsid w:val="008110B6"/>
    <w:rsid w:val="00812EE0"/>
    <w:rsid w:val="00813787"/>
    <w:rsid w:val="00814079"/>
    <w:rsid w:val="00815C7D"/>
    <w:rsid w:val="0081637C"/>
    <w:rsid w:val="00825621"/>
    <w:rsid w:val="00827C03"/>
    <w:rsid w:val="008408C1"/>
    <w:rsid w:val="00843FBE"/>
    <w:rsid w:val="00850C01"/>
    <w:rsid w:val="00856CC7"/>
    <w:rsid w:val="00856F0E"/>
    <w:rsid w:val="00860E81"/>
    <w:rsid w:val="0086109D"/>
    <w:rsid w:val="008611C5"/>
    <w:rsid w:val="00861608"/>
    <w:rsid w:val="0086167D"/>
    <w:rsid w:val="00863041"/>
    <w:rsid w:val="00865101"/>
    <w:rsid w:val="00873E7C"/>
    <w:rsid w:val="00875C5E"/>
    <w:rsid w:val="00887041"/>
    <w:rsid w:val="00887B1F"/>
    <w:rsid w:val="0089016A"/>
    <w:rsid w:val="00896694"/>
    <w:rsid w:val="008A0AEA"/>
    <w:rsid w:val="008A0E2F"/>
    <w:rsid w:val="008A7CD8"/>
    <w:rsid w:val="008B0EC4"/>
    <w:rsid w:val="008C1C2B"/>
    <w:rsid w:val="008C3B27"/>
    <w:rsid w:val="008C3D2A"/>
    <w:rsid w:val="008C4785"/>
    <w:rsid w:val="008D15C2"/>
    <w:rsid w:val="008D300A"/>
    <w:rsid w:val="008E1722"/>
    <w:rsid w:val="008E57A1"/>
    <w:rsid w:val="008E5E41"/>
    <w:rsid w:val="008E6219"/>
    <w:rsid w:val="008F6388"/>
    <w:rsid w:val="008F7AC5"/>
    <w:rsid w:val="00906079"/>
    <w:rsid w:val="00912B06"/>
    <w:rsid w:val="009141D0"/>
    <w:rsid w:val="00915587"/>
    <w:rsid w:val="00916E80"/>
    <w:rsid w:val="00924944"/>
    <w:rsid w:val="00927F68"/>
    <w:rsid w:val="009314E1"/>
    <w:rsid w:val="0093166D"/>
    <w:rsid w:val="009328CA"/>
    <w:rsid w:val="00942C13"/>
    <w:rsid w:val="00943FF3"/>
    <w:rsid w:val="0095035C"/>
    <w:rsid w:val="0095216D"/>
    <w:rsid w:val="00954017"/>
    <w:rsid w:val="009608B1"/>
    <w:rsid w:val="0096091E"/>
    <w:rsid w:val="00960EBB"/>
    <w:rsid w:val="009612AA"/>
    <w:rsid w:val="00961AE1"/>
    <w:rsid w:val="009629A1"/>
    <w:rsid w:val="00974EF6"/>
    <w:rsid w:val="009A5AD0"/>
    <w:rsid w:val="009A5E3F"/>
    <w:rsid w:val="009A6AEC"/>
    <w:rsid w:val="009A6D7F"/>
    <w:rsid w:val="009A71FC"/>
    <w:rsid w:val="009A7D7E"/>
    <w:rsid w:val="009B5DF1"/>
    <w:rsid w:val="009C7B16"/>
    <w:rsid w:val="009D00D0"/>
    <w:rsid w:val="009D4BA6"/>
    <w:rsid w:val="009D5B28"/>
    <w:rsid w:val="009D6FB0"/>
    <w:rsid w:val="009D76FD"/>
    <w:rsid w:val="009E4BA4"/>
    <w:rsid w:val="009E4FDA"/>
    <w:rsid w:val="009E7794"/>
    <w:rsid w:val="009F5844"/>
    <w:rsid w:val="009F732E"/>
    <w:rsid w:val="009F7DEA"/>
    <w:rsid w:val="00A05146"/>
    <w:rsid w:val="00A1213C"/>
    <w:rsid w:val="00A1540A"/>
    <w:rsid w:val="00A22EC7"/>
    <w:rsid w:val="00A25A63"/>
    <w:rsid w:val="00A27409"/>
    <w:rsid w:val="00A31E36"/>
    <w:rsid w:val="00A31FCB"/>
    <w:rsid w:val="00A360F7"/>
    <w:rsid w:val="00A42477"/>
    <w:rsid w:val="00A426AA"/>
    <w:rsid w:val="00A42F17"/>
    <w:rsid w:val="00A435CE"/>
    <w:rsid w:val="00A44AFF"/>
    <w:rsid w:val="00A501FD"/>
    <w:rsid w:val="00A50527"/>
    <w:rsid w:val="00A61414"/>
    <w:rsid w:val="00A64C98"/>
    <w:rsid w:val="00A6546A"/>
    <w:rsid w:val="00A658EC"/>
    <w:rsid w:val="00A6741B"/>
    <w:rsid w:val="00A70CEA"/>
    <w:rsid w:val="00A73C06"/>
    <w:rsid w:val="00A73E47"/>
    <w:rsid w:val="00A75CE3"/>
    <w:rsid w:val="00A77683"/>
    <w:rsid w:val="00A83065"/>
    <w:rsid w:val="00A94402"/>
    <w:rsid w:val="00A9669B"/>
    <w:rsid w:val="00A9704B"/>
    <w:rsid w:val="00AA2E00"/>
    <w:rsid w:val="00AB1010"/>
    <w:rsid w:val="00AB171C"/>
    <w:rsid w:val="00AB1A50"/>
    <w:rsid w:val="00AB1A7E"/>
    <w:rsid w:val="00AB2B75"/>
    <w:rsid w:val="00AB3D78"/>
    <w:rsid w:val="00AC44BF"/>
    <w:rsid w:val="00AC63FB"/>
    <w:rsid w:val="00AC7262"/>
    <w:rsid w:val="00AC7CD4"/>
    <w:rsid w:val="00AD043D"/>
    <w:rsid w:val="00AD0AC1"/>
    <w:rsid w:val="00AD296B"/>
    <w:rsid w:val="00AD426D"/>
    <w:rsid w:val="00AE2CA0"/>
    <w:rsid w:val="00AF21DA"/>
    <w:rsid w:val="00AF294A"/>
    <w:rsid w:val="00AF5235"/>
    <w:rsid w:val="00AF7AD3"/>
    <w:rsid w:val="00B00FF1"/>
    <w:rsid w:val="00B0239F"/>
    <w:rsid w:val="00B12058"/>
    <w:rsid w:val="00B142D0"/>
    <w:rsid w:val="00B239DD"/>
    <w:rsid w:val="00B26265"/>
    <w:rsid w:val="00B2724C"/>
    <w:rsid w:val="00B27E51"/>
    <w:rsid w:val="00B32269"/>
    <w:rsid w:val="00B325C5"/>
    <w:rsid w:val="00B4004B"/>
    <w:rsid w:val="00B41822"/>
    <w:rsid w:val="00B442B6"/>
    <w:rsid w:val="00B514ED"/>
    <w:rsid w:val="00B51B7D"/>
    <w:rsid w:val="00B539DD"/>
    <w:rsid w:val="00B55492"/>
    <w:rsid w:val="00B57509"/>
    <w:rsid w:val="00B600E9"/>
    <w:rsid w:val="00B60F77"/>
    <w:rsid w:val="00B61166"/>
    <w:rsid w:val="00B6694D"/>
    <w:rsid w:val="00B66E4E"/>
    <w:rsid w:val="00B70493"/>
    <w:rsid w:val="00B72069"/>
    <w:rsid w:val="00B76BEA"/>
    <w:rsid w:val="00B76E4F"/>
    <w:rsid w:val="00B77334"/>
    <w:rsid w:val="00B816F5"/>
    <w:rsid w:val="00B81F01"/>
    <w:rsid w:val="00B84AAE"/>
    <w:rsid w:val="00B93679"/>
    <w:rsid w:val="00B937A2"/>
    <w:rsid w:val="00BA0EF9"/>
    <w:rsid w:val="00BA454A"/>
    <w:rsid w:val="00BB22B7"/>
    <w:rsid w:val="00BB2557"/>
    <w:rsid w:val="00BC0B9B"/>
    <w:rsid w:val="00BC7330"/>
    <w:rsid w:val="00BD177B"/>
    <w:rsid w:val="00BD7061"/>
    <w:rsid w:val="00BE2042"/>
    <w:rsid w:val="00BF6493"/>
    <w:rsid w:val="00BF795F"/>
    <w:rsid w:val="00C117BF"/>
    <w:rsid w:val="00C207C6"/>
    <w:rsid w:val="00C23BD7"/>
    <w:rsid w:val="00C265F7"/>
    <w:rsid w:val="00C329DC"/>
    <w:rsid w:val="00C413A6"/>
    <w:rsid w:val="00C43EA1"/>
    <w:rsid w:val="00C47002"/>
    <w:rsid w:val="00C54177"/>
    <w:rsid w:val="00C5681D"/>
    <w:rsid w:val="00C62A79"/>
    <w:rsid w:val="00C6559F"/>
    <w:rsid w:val="00C73462"/>
    <w:rsid w:val="00C73FA7"/>
    <w:rsid w:val="00C75059"/>
    <w:rsid w:val="00C8004D"/>
    <w:rsid w:val="00C9214D"/>
    <w:rsid w:val="00C95E9B"/>
    <w:rsid w:val="00C979EC"/>
    <w:rsid w:val="00CA6715"/>
    <w:rsid w:val="00CB4110"/>
    <w:rsid w:val="00CB4D64"/>
    <w:rsid w:val="00CB5289"/>
    <w:rsid w:val="00CC23CE"/>
    <w:rsid w:val="00CC5104"/>
    <w:rsid w:val="00CC5710"/>
    <w:rsid w:val="00CC6BB1"/>
    <w:rsid w:val="00CE50A6"/>
    <w:rsid w:val="00CE5BE0"/>
    <w:rsid w:val="00CE69B6"/>
    <w:rsid w:val="00CF32F9"/>
    <w:rsid w:val="00CF4518"/>
    <w:rsid w:val="00D0466E"/>
    <w:rsid w:val="00D06616"/>
    <w:rsid w:val="00D0739E"/>
    <w:rsid w:val="00D11341"/>
    <w:rsid w:val="00D13407"/>
    <w:rsid w:val="00D15774"/>
    <w:rsid w:val="00D244D4"/>
    <w:rsid w:val="00D255CC"/>
    <w:rsid w:val="00D25B78"/>
    <w:rsid w:val="00D2673C"/>
    <w:rsid w:val="00D26CE2"/>
    <w:rsid w:val="00D26F40"/>
    <w:rsid w:val="00D33C7C"/>
    <w:rsid w:val="00D34A93"/>
    <w:rsid w:val="00D369B3"/>
    <w:rsid w:val="00D37C40"/>
    <w:rsid w:val="00D43108"/>
    <w:rsid w:val="00D43EF3"/>
    <w:rsid w:val="00D470E9"/>
    <w:rsid w:val="00D52037"/>
    <w:rsid w:val="00D54604"/>
    <w:rsid w:val="00D62C0D"/>
    <w:rsid w:val="00D67637"/>
    <w:rsid w:val="00D7037A"/>
    <w:rsid w:val="00D70FA9"/>
    <w:rsid w:val="00D714A9"/>
    <w:rsid w:val="00D727AB"/>
    <w:rsid w:val="00D7418F"/>
    <w:rsid w:val="00D762CE"/>
    <w:rsid w:val="00D764AA"/>
    <w:rsid w:val="00D81B7B"/>
    <w:rsid w:val="00D826B6"/>
    <w:rsid w:val="00D83BD0"/>
    <w:rsid w:val="00D9702B"/>
    <w:rsid w:val="00DA05CD"/>
    <w:rsid w:val="00DA2643"/>
    <w:rsid w:val="00DA513E"/>
    <w:rsid w:val="00DA5447"/>
    <w:rsid w:val="00DB7127"/>
    <w:rsid w:val="00DD07B4"/>
    <w:rsid w:val="00DD3D27"/>
    <w:rsid w:val="00DD40A6"/>
    <w:rsid w:val="00DD53DE"/>
    <w:rsid w:val="00DD6EB4"/>
    <w:rsid w:val="00DD7F70"/>
    <w:rsid w:val="00DE3547"/>
    <w:rsid w:val="00DE3759"/>
    <w:rsid w:val="00DE424E"/>
    <w:rsid w:val="00DE46D1"/>
    <w:rsid w:val="00DE79EE"/>
    <w:rsid w:val="00DF0595"/>
    <w:rsid w:val="00DF3AAF"/>
    <w:rsid w:val="00DF6863"/>
    <w:rsid w:val="00DF705B"/>
    <w:rsid w:val="00DF7F4F"/>
    <w:rsid w:val="00E053E9"/>
    <w:rsid w:val="00E0643A"/>
    <w:rsid w:val="00E11C52"/>
    <w:rsid w:val="00E13A52"/>
    <w:rsid w:val="00E229D2"/>
    <w:rsid w:val="00E23EBF"/>
    <w:rsid w:val="00E24CAD"/>
    <w:rsid w:val="00E42D05"/>
    <w:rsid w:val="00E55EB5"/>
    <w:rsid w:val="00E6236E"/>
    <w:rsid w:val="00E63577"/>
    <w:rsid w:val="00E63C89"/>
    <w:rsid w:val="00E726A4"/>
    <w:rsid w:val="00E84598"/>
    <w:rsid w:val="00E92B79"/>
    <w:rsid w:val="00E96FD2"/>
    <w:rsid w:val="00EA37FE"/>
    <w:rsid w:val="00EA3A5F"/>
    <w:rsid w:val="00EA4E45"/>
    <w:rsid w:val="00EA56E6"/>
    <w:rsid w:val="00EA5D9D"/>
    <w:rsid w:val="00EB533F"/>
    <w:rsid w:val="00EC14D5"/>
    <w:rsid w:val="00EC1A0B"/>
    <w:rsid w:val="00EC2A2A"/>
    <w:rsid w:val="00EC331C"/>
    <w:rsid w:val="00ED4C24"/>
    <w:rsid w:val="00ED5AEA"/>
    <w:rsid w:val="00EE387D"/>
    <w:rsid w:val="00EE5BEB"/>
    <w:rsid w:val="00EE7456"/>
    <w:rsid w:val="00EE785C"/>
    <w:rsid w:val="00EF0204"/>
    <w:rsid w:val="00EF1EBB"/>
    <w:rsid w:val="00EF3F84"/>
    <w:rsid w:val="00F00954"/>
    <w:rsid w:val="00F0679E"/>
    <w:rsid w:val="00F152DF"/>
    <w:rsid w:val="00F15D27"/>
    <w:rsid w:val="00F2192F"/>
    <w:rsid w:val="00F23A7C"/>
    <w:rsid w:val="00F42697"/>
    <w:rsid w:val="00F43802"/>
    <w:rsid w:val="00F47E86"/>
    <w:rsid w:val="00F517BF"/>
    <w:rsid w:val="00F540F5"/>
    <w:rsid w:val="00F55055"/>
    <w:rsid w:val="00F600F0"/>
    <w:rsid w:val="00F67707"/>
    <w:rsid w:val="00F70653"/>
    <w:rsid w:val="00F82668"/>
    <w:rsid w:val="00F847C1"/>
    <w:rsid w:val="00F85582"/>
    <w:rsid w:val="00F91E2D"/>
    <w:rsid w:val="00F926AB"/>
    <w:rsid w:val="00F94218"/>
    <w:rsid w:val="00F948BC"/>
    <w:rsid w:val="00F962B5"/>
    <w:rsid w:val="00FA2E0B"/>
    <w:rsid w:val="00FB07F5"/>
    <w:rsid w:val="00FB49D9"/>
    <w:rsid w:val="00FB4F92"/>
    <w:rsid w:val="00FC0EDD"/>
    <w:rsid w:val="00FC463B"/>
    <w:rsid w:val="00FC6A03"/>
    <w:rsid w:val="00FD03AB"/>
    <w:rsid w:val="00FD15ED"/>
    <w:rsid w:val="00FD299D"/>
    <w:rsid w:val="00FE1E38"/>
    <w:rsid w:val="00FE4690"/>
    <w:rsid w:val="00FE79C1"/>
    <w:rsid w:val="00FF4C5D"/>
    <w:rsid w:val="00FF5B59"/>
    <w:rsid w:val="00FF5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iPriority="35" w:unhideWhenUsed="1" w:qFormat="1"/>
    <w:lsdException w:name="page number" w:locked="1"/>
    <w:lsdException w:name="Title" w:locked="1" w:uiPriority="10" w:qFormat="1"/>
    <w:lsdException w:name="Default Paragraph Font" w:locked="1"/>
    <w:lsdException w:name="Body Text" w:locked="1"/>
    <w:lsdException w:name="Body Text Indent" w:locked="1"/>
    <w:lsdException w:name="Subtitle" w:locked="1" w:uiPriority="11" w:qFormat="1"/>
    <w:lsdException w:name="Body Text Indent 2" w:locked="1"/>
    <w:lsdException w:name="Body Text Indent 3" w:locked="1"/>
    <w:lsdException w:name="Hyperlink" w:locked="1"/>
    <w:lsdException w:name="Strong" w:locked="1" w:uiPriority="22" w:qFormat="1"/>
    <w:lsdException w:name="Emphasis" w:locked="1"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7128"/>
  </w:style>
  <w:style w:type="paragraph" w:styleId="Nagwek1">
    <w:name w:val="heading 1"/>
    <w:basedOn w:val="Normalny"/>
    <w:next w:val="Normalny"/>
    <w:link w:val="Nagwek1Znak"/>
    <w:uiPriority w:val="9"/>
    <w:qFormat/>
    <w:locked/>
    <w:rsid w:val="002C712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locked/>
    <w:rsid w:val="002C712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locked/>
    <w:rsid w:val="002C7128"/>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locked/>
    <w:rsid w:val="002C7128"/>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locked/>
    <w:rsid w:val="002C7128"/>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locked/>
    <w:rsid w:val="002C7128"/>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locked/>
    <w:rsid w:val="002C7128"/>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locked/>
    <w:rsid w:val="002C7128"/>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locked/>
    <w:rsid w:val="002C7128"/>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pacing w:after="120" w:line="240" w:lineRule="exact"/>
    </w:pPr>
    <w:rPr>
      <w:rFonts w:ascii="Arial" w:hAnsi="Arial" w:cs="Arial"/>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2C7128"/>
    <w:rPr>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pacing w:line="360" w:lineRule="auto"/>
      <w:jc w:val="both"/>
    </w:pPr>
    <w:rPr>
      <w:spacing w:val="10"/>
    </w:rPr>
  </w:style>
  <w:style w:type="paragraph" w:customStyle="1" w:styleId="Style22">
    <w:name w:val="Style22"/>
    <w:basedOn w:val="Normalny"/>
    <w:rsid w:val="00DA513E"/>
    <w:pPr>
      <w:widowControl w:val="0"/>
      <w:autoSpaceDE w:val="0"/>
      <w:autoSpaceDN w:val="0"/>
      <w:adjustRightInd w:val="0"/>
      <w:spacing w:line="271" w:lineRule="exact"/>
      <w:jc w:val="both"/>
    </w:pPr>
    <w:rPr>
      <w:rFonts w:ascii="Calibri" w:hAnsi="Calibri" w:cs="Calibri"/>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pacing w:after="80"/>
      <w:ind w:firstLine="709"/>
      <w:jc w:val="both"/>
    </w:pPr>
    <w:rPr>
      <w:rFonts w:ascii="Garamond" w:hAnsi="Garamond"/>
      <w:sz w:val="22"/>
    </w:rPr>
  </w:style>
  <w:style w:type="paragraph" w:styleId="Tekstpodstawowywcity3">
    <w:name w:val="Body Text Indent 3"/>
    <w:basedOn w:val="Normalny"/>
    <w:link w:val="Tekstpodstawowywcity3Znak"/>
    <w:rsid w:val="00DA513E"/>
    <w:pPr>
      <w:spacing w:after="120"/>
      <w:ind w:left="283"/>
    </w:pPr>
    <w:rPr>
      <w:sz w:val="16"/>
      <w:szCs w:val="16"/>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pacing w:line="360" w:lineRule="auto"/>
      <w:jc w:val="both"/>
    </w:pPr>
    <w:rPr>
      <w:szCs w:val="22"/>
      <w:lang w:eastAsia="en-US"/>
    </w:rPr>
  </w:style>
  <w:style w:type="paragraph" w:styleId="Tekstkomentarza">
    <w:name w:val="annotation text"/>
    <w:basedOn w:val="Normalny"/>
    <w:link w:val="TekstkomentarzaZnak"/>
    <w:semiHidden/>
    <w:rsid w:val="00DA513E"/>
  </w:style>
  <w:style w:type="character" w:customStyle="1" w:styleId="TekstkomentarzaZnak">
    <w:name w:val="Tekst komentarza Znak"/>
    <w:link w:val="Tekstkomentarza"/>
    <w:semiHidden/>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rsid w:val="00DA513E"/>
    <w:pPr>
      <w:ind w:left="720"/>
    </w:pPr>
    <w:rPr>
      <w:rFonts w:ascii="Calibri" w:hAnsi="Calibri"/>
      <w:sz w:val="22"/>
      <w:szCs w:val="22"/>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rPr>
  </w:style>
  <w:style w:type="character" w:customStyle="1" w:styleId="Nagwek1Znak">
    <w:name w:val="Nagłówek 1 Znak"/>
    <w:basedOn w:val="Domylnaczcionkaakapitu"/>
    <w:link w:val="Nagwek1"/>
    <w:uiPriority w:val="9"/>
    <w:rsid w:val="002C7128"/>
    <w:rPr>
      <w:caps/>
      <w:color w:val="FFFFFF" w:themeColor="background1"/>
      <w:spacing w:val="15"/>
      <w:sz w:val="22"/>
      <w:szCs w:val="22"/>
      <w:shd w:val="clear" w:color="auto" w:fill="5B9BD5" w:themeFill="accent1"/>
    </w:rPr>
  </w:style>
  <w:style w:type="paragraph" w:styleId="Akapitzlist">
    <w:name w:val="List Paragraph"/>
    <w:basedOn w:val="Normalny"/>
    <w:uiPriority w:val="34"/>
    <w:qFormat/>
    <w:rsid w:val="009141D0"/>
    <w:pPr>
      <w:ind w:left="720"/>
      <w:contextualSpacing/>
    </w:pPr>
  </w:style>
  <w:style w:type="paragraph" w:styleId="Tekstdymka">
    <w:name w:val="Balloon Text"/>
    <w:basedOn w:val="Normalny"/>
    <w:link w:val="TekstdymkaZnak"/>
    <w:rsid w:val="000324FE"/>
    <w:rPr>
      <w:rFonts w:ascii="Segoe UI" w:hAnsi="Segoe UI" w:cs="Segoe UI"/>
      <w:sz w:val="18"/>
      <w:szCs w:val="18"/>
    </w:rPr>
  </w:style>
  <w:style w:type="character" w:customStyle="1" w:styleId="TekstdymkaZnak">
    <w:name w:val="Tekst dymka Znak"/>
    <w:link w:val="Tekstdymka"/>
    <w:rsid w:val="000324FE"/>
    <w:rPr>
      <w:rFonts w:ascii="Segoe UI" w:hAnsi="Segoe UI" w:cs="Segoe UI"/>
      <w:sz w:val="18"/>
      <w:szCs w:val="18"/>
      <w:lang w:eastAsia="ar-SA"/>
    </w:rPr>
  </w:style>
  <w:style w:type="character" w:styleId="Odwoaniedokomentarza">
    <w:name w:val="annotation reference"/>
    <w:basedOn w:val="Domylnaczcionkaakapitu"/>
    <w:rsid w:val="003241EF"/>
    <w:rPr>
      <w:sz w:val="16"/>
      <w:szCs w:val="16"/>
    </w:rPr>
  </w:style>
  <w:style w:type="paragraph" w:styleId="Tematkomentarza">
    <w:name w:val="annotation subject"/>
    <w:basedOn w:val="Tekstkomentarza"/>
    <w:next w:val="Tekstkomentarza"/>
    <w:link w:val="TematkomentarzaZnak"/>
    <w:rsid w:val="003241EF"/>
    <w:pPr>
      <w:suppressAutoHyphens/>
    </w:pPr>
    <w:rPr>
      <w:b/>
      <w:bCs/>
      <w:lang w:eastAsia="ar-SA"/>
    </w:rPr>
  </w:style>
  <w:style w:type="character" w:customStyle="1" w:styleId="TematkomentarzaZnak">
    <w:name w:val="Temat komentarza Znak"/>
    <w:basedOn w:val="TekstkomentarzaZnak"/>
    <w:link w:val="Tematkomentarza"/>
    <w:rsid w:val="003241EF"/>
    <w:rPr>
      <w:rFonts w:ascii="Times New Roman" w:hAnsi="Times New Roman" w:cs="Times New Roman"/>
      <w:b/>
      <w:bCs/>
      <w:sz w:val="20"/>
      <w:szCs w:val="20"/>
      <w:lang w:val="x-none" w:eastAsia="ar-SA"/>
    </w:rPr>
  </w:style>
  <w:style w:type="character" w:customStyle="1" w:styleId="Nagwek2Znak">
    <w:name w:val="Nagłówek 2 Znak"/>
    <w:basedOn w:val="Domylnaczcionkaakapitu"/>
    <w:link w:val="Nagwek2"/>
    <w:uiPriority w:val="9"/>
    <w:semiHidden/>
    <w:rsid w:val="002C7128"/>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2C7128"/>
    <w:rPr>
      <w:caps/>
      <w:color w:val="1F4D78" w:themeColor="accent1" w:themeShade="7F"/>
      <w:spacing w:val="15"/>
    </w:rPr>
  </w:style>
  <w:style w:type="character" w:customStyle="1" w:styleId="Nagwek4Znak">
    <w:name w:val="Nagłówek 4 Znak"/>
    <w:basedOn w:val="Domylnaczcionkaakapitu"/>
    <w:link w:val="Nagwek4"/>
    <w:uiPriority w:val="9"/>
    <w:semiHidden/>
    <w:rsid w:val="002C7128"/>
    <w:rPr>
      <w:caps/>
      <w:color w:val="2E74B5" w:themeColor="accent1" w:themeShade="BF"/>
      <w:spacing w:val="10"/>
    </w:rPr>
  </w:style>
  <w:style w:type="character" w:customStyle="1" w:styleId="Nagwek5Znak">
    <w:name w:val="Nagłówek 5 Znak"/>
    <w:basedOn w:val="Domylnaczcionkaakapitu"/>
    <w:link w:val="Nagwek5"/>
    <w:uiPriority w:val="9"/>
    <w:semiHidden/>
    <w:rsid w:val="002C7128"/>
    <w:rPr>
      <w:caps/>
      <w:color w:val="2E74B5" w:themeColor="accent1" w:themeShade="BF"/>
      <w:spacing w:val="10"/>
    </w:rPr>
  </w:style>
  <w:style w:type="character" w:customStyle="1" w:styleId="Nagwek6Znak">
    <w:name w:val="Nagłówek 6 Znak"/>
    <w:basedOn w:val="Domylnaczcionkaakapitu"/>
    <w:link w:val="Nagwek6"/>
    <w:uiPriority w:val="9"/>
    <w:semiHidden/>
    <w:rsid w:val="002C7128"/>
    <w:rPr>
      <w:caps/>
      <w:color w:val="2E74B5" w:themeColor="accent1" w:themeShade="BF"/>
      <w:spacing w:val="10"/>
    </w:rPr>
  </w:style>
  <w:style w:type="character" w:customStyle="1" w:styleId="Nagwek7Znak">
    <w:name w:val="Nagłówek 7 Znak"/>
    <w:basedOn w:val="Domylnaczcionkaakapitu"/>
    <w:link w:val="Nagwek7"/>
    <w:uiPriority w:val="9"/>
    <w:semiHidden/>
    <w:rsid w:val="002C7128"/>
    <w:rPr>
      <w:caps/>
      <w:color w:val="2E74B5" w:themeColor="accent1" w:themeShade="BF"/>
      <w:spacing w:val="10"/>
    </w:rPr>
  </w:style>
  <w:style w:type="character" w:customStyle="1" w:styleId="Nagwek8Znak">
    <w:name w:val="Nagłówek 8 Znak"/>
    <w:basedOn w:val="Domylnaczcionkaakapitu"/>
    <w:link w:val="Nagwek8"/>
    <w:uiPriority w:val="9"/>
    <w:semiHidden/>
    <w:rsid w:val="002C7128"/>
    <w:rPr>
      <w:caps/>
      <w:spacing w:val="10"/>
      <w:sz w:val="18"/>
      <w:szCs w:val="18"/>
    </w:rPr>
  </w:style>
  <w:style w:type="character" w:customStyle="1" w:styleId="Nagwek9Znak">
    <w:name w:val="Nagłówek 9 Znak"/>
    <w:basedOn w:val="Domylnaczcionkaakapitu"/>
    <w:link w:val="Nagwek9"/>
    <w:uiPriority w:val="9"/>
    <w:semiHidden/>
    <w:rsid w:val="002C7128"/>
    <w:rPr>
      <w:i/>
      <w:iCs/>
      <w:caps/>
      <w:spacing w:val="10"/>
      <w:sz w:val="18"/>
      <w:szCs w:val="18"/>
    </w:rPr>
  </w:style>
  <w:style w:type="paragraph" w:styleId="Legenda">
    <w:name w:val="caption"/>
    <w:basedOn w:val="Normalny"/>
    <w:next w:val="Normalny"/>
    <w:uiPriority w:val="35"/>
    <w:semiHidden/>
    <w:unhideWhenUsed/>
    <w:qFormat/>
    <w:locked/>
    <w:rsid w:val="002C7128"/>
    <w:rPr>
      <w:b/>
      <w:bCs/>
      <w:color w:val="2E74B5" w:themeColor="accent1" w:themeShade="BF"/>
      <w:sz w:val="16"/>
      <w:szCs w:val="16"/>
    </w:rPr>
  </w:style>
  <w:style w:type="paragraph" w:styleId="Tytu">
    <w:name w:val="Title"/>
    <w:basedOn w:val="Normalny"/>
    <w:next w:val="Normalny"/>
    <w:link w:val="TytuZnak"/>
    <w:uiPriority w:val="10"/>
    <w:qFormat/>
    <w:locked/>
    <w:rsid w:val="002C712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2C7128"/>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locked/>
    <w:rsid w:val="002C7128"/>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2C7128"/>
    <w:rPr>
      <w:caps/>
      <w:color w:val="595959" w:themeColor="text1" w:themeTint="A6"/>
      <w:spacing w:val="10"/>
      <w:sz w:val="21"/>
      <w:szCs w:val="21"/>
    </w:rPr>
  </w:style>
  <w:style w:type="character" w:styleId="Uwydatnienie">
    <w:name w:val="Emphasis"/>
    <w:uiPriority w:val="20"/>
    <w:qFormat/>
    <w:locked/>
    <w:rsid w:val="002C7128"/>
    <w:rPr>
      <w:caps/>
      <w:color w:val="1F4D78" w:themeColor="accent1" w:themeShade="7F"/>
      <w:spacing w:val="5"/>
    </w:rPr>
  </w:style>
  <w:style w:type="paragraph" w:styleId="Bezodstpw">
    <w:name w:val="No Spacing"/>
    <w:uiPriority w:val="1"/>
    <w:qFormat/>
    <w:rsid w:val="002C7128"/>
    <w:pPr>
      <w:spacing w:after="0" w:line="240" w:lineRule="auto"/>
    </w:pPr>
  </w:style>
  <w:style w:type="paragraph" w:styleId="Cytat">
    <w:name w:val="Quote"/>
    <w:basedOn w:val="Normalny"/>
    <w:next w:val="Normalny"/>
    <w:link w:val="CytatZnak"/>
    <w:uiPriority w:val="29"/>
    <w:qFormat/>
    <w:rsid w:val="002C7128"/>
    <w:rPr>
      <w:i/>
      <w:iCs/>
      <w:sz w:val="24"/>
      <w:szCs w:val="24"/>
    </w:rPr>
  </w:style>
  <w:style w:type="character" w:customStyle="1" w:styleId="CytatZnak">
    <w:name w:val="Cytat Znak"/>
    <w:basedOn w:val="Domylnaczcionkaakapitu"/>
    <w:link w:val="Cytat"/>
    <w:uiPriority w:val="29"/>
    <w:rsid w:val="002C7128"/>
    <w:rPr>
      <w:i/>
      <w:iCs/>
      <w:sz w:val="24"/>
      <w:szCs w:val="24"/>
    </w:rPr>
  </w:style>
  <w:style w:type="paragraph" w:styleId="Cytatintensywny">
    <w:name w:val="Intense Quote"/>
    <w:basedOn w:val="Normalny"/>
    <w:next w:val="Normalny"/>
    <w:link w:val="CytatintensywnyZnak"/>
    <w:uiPriority w:val="30"/>
    <w:qFormat/>
    <w:rsid w:val="002C7128"/>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2C7128"/>
    <w:rPr>
      <w:color w:val="5B9BD5" w:themeColor="accent1"/>
      <w:sz w:val="24"/>
      <w:szCs w:val="24"/>
    </w:rPr>
  </w:style>
  <w:style w:type="character" w:styleId="Wyrnieniedelikatne">
    <w:name w:val="Subtle Emphasis"/>
    <w:uiPriority w:val="19"/>
    <w:qFormat/>
    <w:rsid w:val="002C7128"/>
    <w:rPr>
      <w:i/>
      <w:iCs/>
      <w:color w:val="1F4D78" w:themeColor="accent1" w:themeShade="7F"/>
    </w:rPr>
  </w:style>
  <w:style w:type="character" w:styleId="Wyrnienieintensywne">
    <w:name w:val="Intense Emphasis"/>
    <w:uiPriority w:val="21"/>
    <w:qFormat/>
    <w:rsid w:val="002C7128"/>
    <w:rPr>
      <w:b/>
      <w:bCs/>
      <w:caps/>
      <w:color w:val="1F4D78" w:themeColor="accent1" w:themeShade="7F"/>
      <w:spacing w:val="10"/>
    </w:rPr>
  </w:style>
  <w:style w:type="character" w:styleId="Odwoaniedelikatne">
    <w:name w:val="Subtle Reference"/>
    <w:uiPriority w:val="31"/>
    <w:qFormat/>
    <w:rsid w:val="002C7128"/>
    <w:rPr>
      <w:b/>
      <w:bCs/>
      <w:color w:val="5B9BD5" w:themeColor="accent1"/>
    </w:rPr>
  </w:style>
  <w:style w:type="character" w:styleId="Odwoanieintensywne">
    <w:name w:val="Intense Reference"/>
    <w:uiPriority w:val="32"/>
    <w:qFormat/>
    <w:rsid w:val="002C7128"/>
    <w:rPr>
      <w:b/>
      <w:bCs/>
      <w:i/>
      <w:iCs/>
      <w:caps/>
      <w:color w:val="5B9BD5" w:themeColor="accent1"/>
    </w:rPr>
  </w:style>
  <w:style w:type="character" w:styleId="Tytuksiki">
    <w:name w:val="Book Title"/>
    <w:uiPriority w:val="33"/>
    <w:qFormat/>
    <w:rsid w:val="002C7128"/>
    <w:rPr>
      <w:b/>
      <w:bCs/>
      <w:i/>
      <w:iCs/>
      <w:spacing w:val="0"/>
    </w:rPr>
  </w:style>
  <w:style w:type="paragraph" w:styleId="Nagwekspisutreci">
    <w:name w:val="TOC Heading"/>
    <w:basedOn w:val="Nagwek1"/>
    <w:next w:val="Normalny"/>
    <w:uiPriority w:val="39"/>
    <w:semiHidden/>
    <w:unhideWhenUsed/>
    <w:qFormat/>
    <w:rsid w:val="002C7128"/>
    <w:pPr>
      <w:outlineLvl w:val="9"/>
    </w:pPr>
  </w:style>
  <w:style w:type="paragraph" w:styleId="Tekstprzypisukocowego">
    <w:name w:val="endnote text"/>
    <w:basedOn w:val="Normalny"/>
    <w:link w:val="TekstprzypisukocowegoZnak"/>
    <w:rsid w:val="00861608"/>
    <w:pPr>
      <w:spacing w:before="0" w:after="0" w:line="240" w:lineRule="auto"/>
    </w:pPr>
  </w:style>
  <w:style w:type="character" w:customStyle="1" w:styleId="TekstprzypisukocowegoZnak">
    <w:name w:val="Tekst przypisu końcowego Znak"/>
    <w:basedOn w:val="Domylnaczcionkaakapitu"/>
    <w:link w:val="Tekstprzypisukocowego"/>
    <w:rsid w:val="00861608"/>
  </w:style>
  <w:style w:type="character" w:styleId="Odwoanieprzypisukocowego">
    <w:name w:val="endnote reference"/>
    <w:basedOn w:val="Domylnaczcionkaakapitu"/>
    <w:rsid w:val="008616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7509">
      <w:bodyDiv w:val="1"/>
      <w:marLeft w:val="0"/>
      <w:marRight w:val="0"/>
      <w:marTop w:val="0"/>
      <w:marBottom w:val="0"/>
      <w:divBdr>
        <w:top w:val="none" w:sz="0" w:space="0" w:color="auto"/>
        <w:left w:val="none" w:sz="0" w:space="0" w:color="auto"/>
        <w:bottom w:val="none" w:sz="0" w:space="0" w:color="auto"/>
        <w:right w:val="none" w:sz="0" w:space="0" w:color="auto"/>
      </w:divBdr>
    </w:div>
    <w:div w:id="26219894">
      <w:bodyDiv w:val="1"/>
      <w:marLeft w:val="0"/>
      <w:marRight w:val="0"/>
      <w:marTop w:val="0"/>
      <w:marBottom w:val="0"/>
      <w:divBdr>
        <w:top w:val="none" w:sz="0" w:space="0" w:color="auto"/>
        <w:left w:val="none" w:sz="0" w:space="0" w:color="auto"/>
        <w:bottom w:val="none" w:sz="0" w:space="0" w:color="auto"/>
        <w:right w:val="none" w:sz="0" w:space="0" w:color="auto"/>
      </w:divBdr>
    </w:div>
    <w:div w:id="113988866">
      <w:bodyDiv w:val="1"/>
      <w:marLeft w:val="0"/>
      <w:marRight w:val="0"/>
      <w:marTop w:val="0"/>
      <w:marBottom w:val="0"/>
      <w:divBdr>
        <w:top w:val="none" w:sz="0" w:space="0" w:color="auto"/>
        <w:left w:val="none" w:sz="0" w:space="0" w:color="auto"/>
        <w:bottom w:val="none" w:sz="0" w:space="0" w:color="auto"/>
        <w:right w:val="none" w:sz="0" w:space="0" w:color="auto"/>
      </w:divBdr>
    </w:div>
    <w:div w:id="236596437">
      <w:bodyDiv w:val="1"/>
      <w:marLeft w:val="0"/>
      <w:marRight w:val="0"/>
      <w:marTop w:val="0"/>
      <w:marBottom w:val="0"/>
      <w:divBdr>
        <w:top w:val="none" w:sz="0" w:space="0" w:color="auto"/>
        <w:left w:val="none" w:sz="0" w:space="0" w:color="auto"/>
        <w:bottom w:val="none" w:sz="0" w:space="0" w:color="auto"/>
        <w:right w:val="none" w:sz="0" w:space="0" w:color="auto"/>
      </w:divBdr>
    </w:div>
    <w:div w:id="242180750">
      <w:bodyDiv w:val="1"/>
      <w:marLeft w:val="0"/>
      <w:marRight w:val="0"/>
      <w:marTop w:val="0"/>
      <w:marBottom w:val="0"/>
      <w:divBdr>
        <w:top w:val="none" w:sz="0" w:space="0" w:color="auto"/>
        <w:left w:val="none" w:sz="0" w:space="0" w:color="auto"/>
        <w:bottom w:val="none" w:sz="0" w:space="0" w:color="auto"/>
        <w:right w:val="none" w:sz="0" w:space="0" w:color="auto"/>
      </w:divBdr>
    </w:div>
    <w:div w:id="332874110">
      <w:bodyDiv w:val="1"/>
      <w:marLeft w:val="0"/>
      <w:marRight w:val="0"/>
      <w:marTop w:val="0"/>
      <w:marBottom w:val="0"/>
      <w:divBdr>
        <w:top w:val="none" w:sz="0" w:space="0" w:color="auto"/>
        <w:left w:val="none" w:sz="0" w:space="0" w:color="auto"/>
        <w:bottom w:val="none" w:sz="0" w:space="0" w:color="auto"/>
        <w:right w:val="none" w:sz="0" w:space="0" w:color="auto"/>
      </w:divBdr>
    </w:div>
    <w:div w:id="351298625">
      <w:bodyDiv w:val="1"/>
      <w:marLeft w:val="0"/>
      <w:marRight w:val="0"/>
      <w:marTop w:val="0"/>
      <w:marBottom w:val="0"/>
      <w:divBdr>
        <w:top w:val="none" w:sz="0" w:space="0" w:color="auto"/>
        <w:left w:val="none" w:sz="0" w:space="0" w:color="auto"/>
        <w:bottom w:val="none" w:sz="0" w:space="0" w:color="auto"/>
        <w:right w:val="none" w:sz="0" w:space="0" w:color="auto"/>
      </w:divBdr>
    </w:div>
    <w:div w:id="396560314">
      <w:bodyDiv w:val="1"/>
      <w:marLeft w:val="0"/>
      <w:marRight w:val="0"/>
      <w:marTop w:val="0"/>
      <w:marBottom w:val="0"/>
      <w:divBdr>
        <w:top w:val="none" w:sz="0" w:space="0" w:color="auto"/>
        <w:left w:val="none" w:sz="0" w:space="0" w:color="auto"/>
        <w:bottom w:val="none" w:sz="0" w:space="0" w:color="auto"/>
        <w:right w:val="none" w:sz="0" w:space="0" w:color="auto"/>
      </w:divBdr>
    </w:div>
    <w:div w:id="557668896">
      <w:bodyDiv w:val="1"/>
      <w:marLeft w:val="0"/>
      <w:marRight w:val="0"/>
      <w:marTop w:val="0"/>
      <w:marBottom w:val="0"/>
      <w:divBdr>
        <w:top w:val="none" w:sz="0" w:space="0" w:color="auto"/>
        <w:left w:val="none" w:sz="0" w:space="0" w:color="auto"/>
        <w:bottom w:val="none" w:sz="0" w:space="0" w:color="auto"/>
        <w:right w:val="none" w:sz="0" w:space="0" w:color="auto"/>
      </w:divBdr>
    </w:div>
    <w:div w:id="599604413">
      <w:bodyDiv w:val="1"/>
      <w:marLeft w:val="0"/>
      <w:marRight w:val="0"/>
      <w:marTop w:val="0"/>
      <w:marBottom w:val="0"/>
      <w:divBdr>
        <w:top w:val="none" w:sz="0" w:space="0" w:color="auto"/>
        <w:left w:val="none" w:sz="0" w:space="0" w:color="auto"/>
        <w:bottom w:val="none" w:sz="0" w:space="0" w:color="auto"/>
        <w:right w:val="none" w:sz="0" w:space="0" w:color="auto"/>
      </w:divBdr>
    </w:div>
    <w:div w:id="678511058">
      <w:bodyDiv w:val="1"/>
      <w:marLeft w:val="0"/>
      <w:marRight w:val="0"/>
      <w:marTop w:val="0"/>
      <w:marBottom w:val="0"/>
      <w:divBdr>
        <w:top w:val="none" w:sz="0" w:space="0" w:color="auto"/>
        <w:left w:val="none" w:sz="0" w:space="0" w:color="auto"/>
        <w:bottom w:val="none" w:sz="0" w:space="0" w:color="auto"/>
        <w:right w:val="none" w:sz="0" w:space="0" w:color="auto"/>
      </w:divBdr>
    </w:div>
    <w:div w:id="711072734">
      <w:bodyDiv w:val="1"/>
      <w:marLeft w:val="0"/>
      <w:marRight w:val="0"/>
      <w:marTop w:val="0"/>
      <w:marBottom w:val="0"/>
      <w:divBdr>
        <w:top w:val="none" w:sz="0" w:space="0" w:color="auto"/>
        <w:left w:val="none" w:sz="0" w:space="0" w:color="auto"/>
        <w:bottom w:val="none" w:sz="0" w:space="0" w:color="auto"/>
        <w:right w:val="none" w:sz="0" w:space="0" w:color="auto"/>
      </w:divBdr>
    </w:div>
    <w:div w:id="730737497">
      <w:bodyDiv w:val="1"/>
      <w:marLeft w:val="0"/>
      <w:marRight w:val="0"/>
      <w:marTop w:val="0"/>
      <w:marBottom w:val="0"/>
      <w:divBdr>
        <w:top w:val="none" w:sz="0" w:space="0" w:color="auto"/>
        <w:left w:val="none" w:sz="0" w:space="0" w:color="auto"/>
        <w:bottom w:val="none" w:sz="0" w:space="0" w:color="auto"/>
        <w:right w:val="none" w:sz="0" w:space="0" w:color="auto"/>
      </w:divBdr>
    </w:div>
    <w:div w:id="757753945">
      <w:bodyDiv w:val="1"/>
      <w:marLeft w:val="0"/>
      <w:marRight w:val="0"/>
      <w:marTop w:val="0"/>
      <w:marBottom w:val="0"/>
      <w:divBdr>
        <w:top w:val="none" w:sz="0" w:space="0" w:color="auto"/>
        <w:left w:val="none" w:sz="0" w:space="0" w:color="auto"/>
        <w:bottom w:val="none" w:sz="0" w:space="0" w:color="auto"/>
        <w:right w:val="none" w:sz="0" w:space="0" w:color="auto"/>
      </w:divBdr>
    </w:div>
    <w:div w:id="828905927">
      <w:bodyDiv w:val="1"/>
      <w:marLeft w:val="0"/>
      <w:marRight w:val="0"/>
      <w:marTop w:val="0"/>
      <w:marBottom w:val="0"/>
      <w:divBdr>
        <w:top w:val="none" w:sz="0" w:space="0" w:color="auto"/>
        <w:left w:val="none" w:sz="0" w:space="0" w:color="auto"/>
        <w:bottom w:val="none" w:sz="0" w:space="0" w:color="auto"/>
        <w:right w:val="none" w:sz="0" w:space="0" w:color="auto"/>
      </w:divBdr>
    </w:div>
    <w:div w:id="857618452">
      <w:bodyDiv w:val="1"/>
      <w:marLeft w:val="0"/>
      <w:marRight w:val="0"/>
      <w:marTop w:val="0"/>
      <w:marBottom w:val="0"/>
      <w:divBdr>
        <w:top w:val="none" w:sz="0" w:space="0" w:color="auto"/>
        <w:left w:val="none" w:sz="0" w:space="0" w:color="auto"/>
        <w:bottom w:val="none" w:sz="0" w:space="0" w:color="auto"/>
        <w:right w:val="none" w:sz="0" w:space="0" w:color="auto"/>
      </w:divBdr>
    </w:div>
    <w:div w:id="883248708">
      <w:bodyDiv w:val="1"/>
      <w:marLeft w:val="0"/>
      <w:marRight w:val="0"/>
      <w:marTop w:val="0"/>
      <w:marBottom w:val="0"/>
      <w:divBdr>
        <w:top w:val="none" w:sz="0" w:space="0" w:color="auto"/>
        <w:left w:val="none" w:sz="0" w:space="0" w:color="auto"/>
        <w:bottom w:val="none" w:sz="0" w:space="0" w:color="auto"/>
        <w:right w:val="none" w:sz="0" w:space="0" w:color="auto"/>
      </w:divBdr>
    </w:div>
    <w:div w:id="929435981">
      <w:bodyDiv w:val="1"/>
      <w:marLeft w:val="0"/>
      <w:marRight w:val="0"/>
      <w:marTop w:val="0"/>
      <w:marBottom w:val="0"/>
      <w:divBdr>
        <w:top w:val="none" w:sz="0" w:space="0" w:color="auto"/>
        <w:left w:val="none" w:sz="0" w:space="0" w:color="auto"/>
        <w:bottom w:val="none" w:sz="0" w:space="0" w:color="auto"/>
        <w:right w:val="none" w:sz="0" w:space="0" w:color="auto"/>
      </w:divBdr>
    </w:div>
    <w:div w:id="1148279216">
      <w:bodyDiv w:val="1"/>
      <w:marLeft w:val="0"/>
      <w:marRight w:val="0"/>
      <w:marTop w:val="0"/>
      <w:marBottom w:val="0"/>
      <w:divBdr>
        <w:top w:val="none" w:sz="0" w:space="0" w:color="auto"/>
        <w:left w:val="none" w:sz="0" w:space="0" w:color="auto"/>
        <w:bottom w:val="none" w:sz="0" w:space="0" w:color="auto"/>
        <w:right w:val="none" w:sz="0" w:space="0" w:color="auto"/>
      </w:divBdr>
    </w:div>
    <w:div w:id="1172338845">
      <w:bodyDiv w:val="1"/>
      <w:marLeft w:val="0"/>
      <w:marRight w:val="0"/>
      <w:marTop w:val="0"/>
      <w:marBottom w:val="0"/>
      <w:divBdr>
        <w:top w:val="none" w:sz="0" w:space="0" w:color="auto"/>
        <w:left w:val="none" w:sz="0" w:space="0" w:color="auto"/>
        <w:bottom w:val="none" w:sz="0" w:space="0" w:color="auto"/>
        <w:right w:val="none" w:sz="0" w:space="0" w:color="auto"/>
      </w:divBdr>
    </w:div>
    <w:div w:id="1186939529">
      <w:bodyDiv w:val="1"/>
      <w:marLeft w:val="0"/>
      <w:marRight w:val="0"/>
      <w:marTop w:val="0"/>
      <w:marBottom w:val="0"/>
      <w:divBdr>
        <w:top w:val="none" w:sz="0" w:space="0" w:color="auto"/>
        <w:left w:val="none" w:sz="0" w:space="0" w:color="auto"/>
        <w:bottom w:val="none" w:sz="0" w:space="0" w:color="auto"/>
        <w:right w:val="none" w:sz="0" w:space="0" w:color="auto"/>
      </w:divBdr>
    </w:div>
    <w:div w:id="1278635680">
      <w:bodyDiv w:val="1"/>
      <w:marLeft w:val="0"/>
      <w:marRight w:val="0"/>
      <w:marTop w:val="0"/>
      <w:marBottom w:val="0"/>
      <w:divBdr>
        <w:top w:val="none" w:sz="0" w:space="0" w:color="auto"/>
        <w:left w:val="none" w:sz="0" w:space="0" w:color="auto"/>
        <w:bottom w:val="none" w:sz="0" w:space="0" w:color="auto"/>
        <w:right w:val="none" w:sz="0" w:space="0" w:color="auto"/>
      </w:divBdr>
    </w:div>
    <w:div w:id="1306273100">
      <w:bodyDiv w:val="1"/>
      <w:marLeft w:val="0"/>
      <w:marRight w:val="0"/>
      <w:marTop w:val="0"/>
      <w:marBottom w:val="0"/>
      <w:divBdr>
        <w:top w:val="none" w:sz="0" w:space="0" w:color="auto"/>
        <w:left w:val="none" w:sz="0" w:space="0" w:color="auto"/>
        <w:bottom w:val="none" w:sz="0" w:space="0" w:color="auto"/>
        <w:right w:val="none" w:sz="0" w:space="0" w:color="auto"/>
      </w:divBdr>
    </w:div>
    <w:div w:id="1316908896">
      <w:bodyDiv w:val="1"/>
      <w:marLeft w:val="390"/>
      <w:marRight w:val="390"/>
      <w:marTop w:val="0"/>
      <w:marBottom w:val="0"/>
      <w:divBdr>
        <w:top w:val="none" w:sz="0" w:space="0" w:color="auto"/>
        <w:left w:val="none" w:sz="0" w:space="0" w:color="auto"/>
        <w:bottom w:val="none" w:sz="0" w:space="0" w:color="auto"/>
        <w:right w:val="none" w:sz="0" w:space="0" w:color="auto"/>
      </w:divBdr>
    </w:div>
    <w:div w:id="1317566970">
      <w:bodyDiv w:val="1"/>
      <w:marLeft w:val="0"/>
      <w:marRight w:val="0"/>
      <w:marTop w:val="0"/>
      <w:marBottom w:val="0"/>
      <w:divBdr>
        <w:top w:val="none" w:sz="0" w:space="0" w:color="auto"/>
        <w:left w:val="none" w:sz="0" w:space="0" w:color="auto"/>
        <w:bottom w:val="none" w:sz="0" w:space="0" w:color="auto"/>
        <w:right w:val="none" w:sz="0" w:space="0" w:color="auto"/>
      </w:divBdr>
    </w:div>
    <w:div w:id="1327594273">
      <w:bodyDiv w:val="1"/>
      <w:marLeft w:val="0"/>
      <w:marRight w:val="0"/>
      <w:marTop w:val="0"/>
      <w:marBottom w:val="0"/>
      <w:divBdr>
        <w:top w:val="none" w:sz="0" w:space="0" w:color="auto"/>
        <w:left w:val="none" w:sz="0" w:space="0" w:color="auto"/>
        <w:bottom w:val="none" w:sz="0" w:space="0" w:color="auto"/>
        <w:right w:val="none" w:sz="0" w:space="0" w:color="auto"/>
      </w:divBdr>
    </w:div>
    <w:div w:id="1391999084">
      <w:bodyDiv w:val="1"/>
      <w:marLeft w:val="0"/>
      <w:marRight w:val="0"/>
      <w:marTop w:val="0"/>
      <w:marBottom w:val="0"/>
      <w:divBdr>
        <w:top w:val="none" w:sz="0" w:space="0" w:color="auto"/>
        <w:left w:val="none" w:sz="0" w:space="0" w:color="auto"/>
        <w:bottom w:val="none" w:sz="0" w:space="0" w:color="auto"/>
        <w:right w:val="none" w:sz="0" w:space="0" w:color="auto"/>
      </w:divBdr>
    </w:div>
    <w:div w:id="1435173321">
      <w:bodyDiv w:val="1"/>
      <w:marLeft w:val="0"/>
      <w:marRight w:val="0"/>
      <w:marTop w:val="0"/>
      <w:marBottom w:val="0"/>
      <w:divBdr>
        <w:top w:val="none" w:sz="0" w:space="0" w:color="auto"/>
        <w:left w:val="none" w:sz="0" w:space="0" w:color="auto"/>
        <w:bottom w:val="none" w:sz="0" w:space="0" w:color="auto"/>
        <w:right w:val="none" w:sz="0" w:space="0" w:color="auto"/>
      </w:divBdr>
    </w:div>
    <w:div w:id="1567836833">
      <w:bodyDiv w:val="1"/>
      <w:marLeft w:val="0"/>
      <w:marRight w:val="0"/>
      <w:marTop w:val="0"/>
      <w:marBottom w:val="0"/>
      <w:divBdr>
        <w:top w:val="none" w:sz="0" w:space="0" w:color="auto"/>
        <w:left w:val="none" w:sz="0" w:space="0" w:color="auto"/>
        <w:bottom w:val="none" w:sz="0" w:space="0" w:color="auto"/>
        <w:right w:val="none" w:sz="0" w:space="0" w:color="auto"/>
      </w:divBdr>
    </w:div>
    <w:div w:id="1580945853">
      <w:bodyDiv w:val="1"/>
      <w:marLeft w:val="0"/>
      <w:marRight w:val="0"/>
      <w:marTop w:val="0"/>
      <w:marBottom w:val="0"/>
      <w:divBdr>
        <w:top w:val="none" w:sz="0" w:space="0" w:color="auto"/>
        <w:left w:val="none" w:sz="0" w:space="0" w:color="auto"/>
        <w:bottom w:val="none" w:sz="0" w:space="0" w:color="auto"/>
        <w:right w:val="none" w:sz="0" w:space="0" w:color="auto"/>
      </w:divBdr>
    </w:div>
    <w:div w:id="1595701409">
      <w:bodyDiv w:val="1"/>
      <w:marLeft w:val="0"/>
      <w:marRight w:val="0"/>
      <w:marTop w:val="0"/>
      <w:marBottom w:val="0"/>
      <w:divBdr>
        <w:top w:val="none" w:sz="0" w:space="0" w:color="auto"/>
        <w:left w:val="none" w:sz="0" w:space="0" w:color="auto"/>
        <w:bottom w:val="none" w:sz="0" w:space="0" w:color="auto"/>
        <w:right w:val="none" w:sz="0" w:space="0" w:color="auto"/>
      </w:divBdr>
    </w:div>
    <w:div w:id="1659380317">
      <w:bodyDiv w:val="1"/>
      <w:marLeft w:val="0"/>
      <w:marRight w:val="0"/>
      <w:marTop w:val="0"/>
      <w:marBottom w:val="0"/>
      <w:divBdr>
        <w:top w:val="none" w:sz="0" w:space="0" w:color="auto"/>
        <w:left w:val="none" w:sz="0" w:space="0" w:color="auto"/>
        <w:bottom w:val="none" w:sz="0" w:space="0" w:color="auto"/>
        <w:right w:val="none" w:sz="0" w:space="0" w:color="auto"/>
      </w:divBdr>
    </w:div>
    <w:div w:id="1707828715">
      <w:bodyDiv w:val="1"/>
      <w:marLeft w:val="0"/>
      <w:marRight w:val="0"/>
      <w:marTop w:val="0"/>
      <w:marBottom w:val="0"/>
      <w:divBdr>
        <w:top w:val="none" w:sz="0" w:space="0" w:color="auto"/>
        <w:left w:val="none" w:sz="0" w:space="0" w:color="auto"/>
        <w:bottom w:val="none" w:sz="0" w:space="0" w:color="auto"/>
        <w:right w:val="none" w:sz="0" w:space="0" w:color="auto"/>
      </w:divBdr>
    </w:div>
    <w:div w:id="1712413612">
      <w:bodyDiv w:val="1"/>
      <w:marLeft w:val="0"/>
      <w:marRight w:val="0"/>
      <w:marTop w:val="0"/>
      <w:marBottom w:val="0"/>
      <w:divBdr>
        <w:top w:val="none" w:sz="0" w:space="0" w:color="auto"/>
        <w:left w:val="none" w:sz="0" w:space="0" w:color="auto"/>
        <w:bottom w:val="none" w:sz="0" w:space="0" w:color="auto"/>
        <w:right w:val="none" w:sz="0" w:space="0" w:color="auto"/>
      </w:divBdr>
    </w:div>
    <w:div w:id="1729260550">
      <w:bodyDiv w:val="1"/>
      <w:marLeft w:val="0"/>
      <w:marRight w:val="0"/>
      <w:marTop w:val="0"/>
      <w:marBottom w:val="0"/>
      <w:divBdr>
        <w:top w:val="none" w:sz="0" w:space="0" w:color="auto"/>
        <w:left w:val="none" w:sz="0" w:space="0" w:color="auto"/>
        <w:bottom w:val="none" w:sz="0" w:space="0" w:color="auto"/>
        <w:right w:val="none" w:sz="0" w:space="0" w:color="auto"/>
      </w:divBdr>
    </w:div>
    <w:div w:id="1829789001">
      <w:bodyDiv w:val="1"/>
      <w:marLeft w:val="0"/>
      <w:marRight w:val="0"/>
      <w:marTop w:val="0"/>
      <w:marBottom w:val="0"/>
      <w:divBdr>
        <w:top w:val="none" w:sz="0" w:space="0" w:color="auto"/>
        <w:left w:val="none" w:sz="0" w:space="0" w:color="auto"/>
        <w:bottom w:val="none" w:sz="0" w:space="0" w:color="auto"/>
        <w:right w:val="none" w:sz="0" w:space="0" w:color="auto"/>
      </w:divBdr>
    </w:div>
    <w:div w:id="1968003308">
      <w:bodyDiv w:val="1"/>
      <w:marLeft w:val="0"/>
      <w:marRight w:val="0"/>
      <w:marTop w:val="0"/>
      <w:marBottom w:val="0"/>
      <w:divBdr>
        <w:top w:val="none" w:sz="0" w:space="0" w:color="auto"/>
        <w:left w:val="none" w:sz="0" w:space="0" w:color="auto"/>
        <w:bottom w:val="none" w:sz="0" w:space="0" w:color="auto"/>
        <w:right w:val="none" w:sz="0" w:space="0" w:color="auto"/>
      </w:divBdr>
    </w:div>
    <w:div w:id="1979412071">
      <w:bodyDiv w:val="1"/>
      <w:marLeft w:val="0"/>
      <w:marRight w:val="0"/>
      <w:marTop w:val="0"/>
      <w:marBottom w:val="0"/>
      <w:divBdr>
        <w:top w:val="none" w:sz="0" w:space="0" w:color="auto"/>
        <w:left w:val="none" w:sz="0" w:space="0" w:color="auto"/>
        <w:bottom w:val="none" w:sz="0" w:space="0" w:color="auto"/>
        <w:right w:val="none" w:sz="0" w:space="0" w:color="auto"/>
      </w:divBdr>
    </w:div>
    <w:div w:id="1992833072">
      <w:bodyDiv w:val="1"/>
      <w:marLeft w:val="0"/>
      <w:marRight w:val="0"/>
      <w:marTop w:val="0"/>
      <w:marBottom w:val="0"/>
      <w:divBdr>
        <w:top w:val="none" w:sz="0" w:space="0" w:color="auto"/>
        <w:left w:val="none" w:sz="0" w:space="0" w:color="auto"/>
        <w:bottom w:val="none" w:sz="0" w:space="0" w:color="auto"/>
        <w:right w:val="none" w:sz="0" w:space="0" w:color="auto"/>
      </w:divBdr>
    </w:div>
    <w:div w:id="2012442033">
      <w:bodyDiv w:val="1"/>
      <w:marLeft w:val="0"/>
      <w:marRight w:val="0"/>
      <w:marTop w:val="0"/>
      <w:marBottom w:val="0"/>
      <w:divBdr>
        <w:top w:val="none" w:sz="0" w:space="0" w:color="auto"/>
        <w:left w:val="none" w:sz="0" w:space="0" w:color="auto"/>
        <w:bottom w:val="none" w:sz="0" w:space="0" w:color="auto"/>
        <w:right w:val="none" w:sz="0" w:space="0" w:color="auto"/>
      </w:divBdr>
    </w:div>
    <w:div w:id="2022929006">
      <w:bodyDiv w:val="1"/>
      <w:marLeft w:val="0"/>
      <w:marRight w:val="0"/>
      <w:marTop w:val="0"/>
      <w:marBottom w:val="0"/>
      <w:divBdr>
        <w:top w:val="none" w:sz="0" w:space="0" w:color="auto"/>
        <w:left w:val="none" w:sz="0" w:space="0" w:color="auto"/>
        <w:bottom w:val="none" w:sz="0" w:space="0" w:color="auto"/>
        <w:right w:val="none" w:sz="0" w:space="0" w:color="auto"/>
      </w:divBdr>
    </w:div>
    <w:div w:id="2027361446">
      <w:bodyDiv w:val="1"/>
      <w:marLeft w:val="0"/>
      <w:marRight w:val="0"/>
      <w:marTop w:val="0"/>
      <w:marBottom w:val="0"/>
      <w:divBdr>
        <w:top w:val="none" w:sz="0" w:space="0" w:color="auto"/>
        <w:left w:val="none" w:sz="0" w:space="0" w:color="auto"/>
        <w:bottom w:val="none" w:sz="0" w:space="0" w:color="auto"/>
        <w:right w:val="none" w:sz="0" w:space="0" w:color="auto"/>
      </w:divBdr>
    </w:div>
    <w:div w:id="212607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26646-ADBE-4D3C-9FAB-776507981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2669</Words>
  <Characters>16020</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2020-04-06T14:05:00Z</dcterms:created>
  <dcterms:modified xsi:type="dcterms:W3CDTF">2020-04-06T14:05:00Z</dcterms:modified>
</cp:coreProperties>
</file>